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9C_111/2020 vom 17. Februar 2020</w:t>
      </w:r>
    </w:p>
    <w:p>
      <w:r>
        <w:t>Bundesgericht, 2020-02-17, DE</w:t>
      </w:r>
    </w:p>
    <w:p>
      <w:r>
        <w:rPr>
          <w:b/>
        </w:rPr>
        <w:t xml:space="preserve">Quelle: </w:t>
      </w:r>
      <w:r>
        <w:t>https://mcp.opencaselaw.ch/entscheid/bger_9C_111_2020</w:t>
      </w:r>
    </w:p>
    <w:p>
      <w:r>
        <w:t>FR: TF 9C_111/2020 du 17 février 2020</w:t>
      </w:r>
    </w:p>
    <w:p>
      <w:r>
        <w:t>IT: TF 9C_111/2020 del 17 febbraio 2020</w:t>
      </w:r>
    </w:p>
    <w:p>
      <w:pPr>
        <w:pStyle w:val="Heading2"/>
      </w:pPr>
      <w:r>
        <w:t>Volltext</w:t>
      </w:r>
    </w:p>
    <w:p>
      <w:r>
        <w:t>Bundesgericht</w:t>
      </w:r>
    </w:p>
    <w:p>
      <w:r>
        <w:t>Tribunal fédéral</w:t>
      </w:r>
    </w:p>
    <w:p>
      <w:r>
        <w:t>Tribunale federale</w:t>
      </w:r>
    </w:p>
    <w:p>
      <w:r>
        <w:t>Tribunal federal</w:t>
      </w:r>
    </w:p>
    <w:p>
      <w:r>
        <w:t>9C_111/2020</w:t>
      </w:r>
    </w:p>
    <w:p>
      <w:r>
        <w:t>Urteil vom 17. Februar 2020</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 vom 23. Dezember 2019 (IV.2018.00800).</w:t>
      </w:r>
    </w:p>
    <w:p>
      <w:r>
        <w:t>Nach Einsicht</w:t>
      </w:r>
    </w:p>
    <w:p>
      <w:r>
        <w:t>in die Beschwerde vom 6. Februar 2020 (Poststempel) gegen den Entscheid des Sozialversicherungsgerichts des Kantons Zürich vom 23. Dezember 2019 betreffend Invalidenrente (Revision),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Entscheides massgeblichen Erwägungen der Vorinstanz einzugehen und im Einzelnen aufzuzeigen ist, welche Vorschriften und weshalb sie vom kantonalen Gericht verletzt worden sind ( BGE 134 V 53 E. 3.3 S. 60 und 133 IV 286 E. 1.4 S. 287), wohingegen rein appellatorische Kritik nicht ausreicht ( BGE 140 III 264 E. 2.3 S. 266),</w:t>
      </w:r>
    </w:p>
    <w:p>
      <w:r>
        <w:t>dass die Eingabe vom 6. Februar 2020 diesen inhaltlichen Mindestanforderungen offensichtlich nicht genügt, da sie zwar Anträge enthält, den Ausführungen jedoch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 Erwägung, wonach sich der Gesundheitszustand des Beschwerdeführers gemäss dem beweiskräftigen bidiszplinären Gutachten vom 21. Februar 2017 insbesondere aufgrund der Remission der posttraumatischen Belastungsstörung (ICD-10 F 43.1) erheblich verbessert habe, und auf die gutachterlich attestierte Arbeitsfähigkeit von 50 % in einer leidensangepassten Tätigkeit (anhand der mit BGE 141 V 281 eingeführten Indikatorenprüfung) abgestellt werden könne,</w:t>
      </w:r>
    </w:p>
    <w:p>
      <w:r>
        <w:t>dass sich der Beschwerdeführer im Wesentlichen darauf beschränkt, in appellatorischer Weise die eigene, von der Vorinstanz abweichende Sichtweise und Darstellung seiner gesundheitlichen Verhältnisse wiederzugeben, insbesondere zu behaupten, die gutachterlichen Angaben beruhten auf reiner Fantasie, und es damit an einer qualifizierten Auseinandersetzung mit dem angefochtenen Entscheid fehlt,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Februar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