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9C_110/2018 vom 14. Mai 2018</w:t>
      </w:r>
    </w:p>
    <w:p>
      <w:r>
        <w:t>Bundesgericht, 2018-05-14, FR</w:t>
      </w:r>
    </w:p>
    <w:p>
      <w:r>
        <w:rPr>
          <w:b/>
        </w:rPr>
        <w:t xml:space="preserve">Quelle: </w:t>
      </w:r>
      <w:r>
        <w:t>https://mcp.opencaselaw.ch/entscheid/bger_9C_110_2018</w:t>
      </w:r>
    </w:p>
    <w:p>
      <w:r>
        <w:t>FR: TF 9C_110/2018 du 14 mai 2018</w:t>
      </w:r>
    </w:p>
    <w:p>
      <w:r>
        <w:t>IT: TF 9C_110/2018 del 14 maggio 2018</w:t>
      </w:r>
    </w:p>
    <w:p>
      <w:pPr>
        <w:pStyle w:val="Heading2"/>
      </w:pPr>
      <w:r>
        <w:t>Erwägungen</w:t>
      </w:r>
    </w:p>
    <w:p>
      <w:r>
        <w:rPr>
          <w:b/>
        </w:rPr>
        <w:t>E. 1.1</w:t>
      </w:r>
    </w:p>
    <w:p>
      <w:r>
        <w:t>En vertu de l' art. 99 al. 2 LTF , la conclusion subsidiaire du recourant tendant à l'annulation de la décision administrative du 9 mai 2017 est irrecevable pour le seul motif déjà qu'elle est nouvelle. Il s'agit en effet d'une conclusion qui n'a pas été soumise à l'autorité précédente et qui tend à demander davantage qu'en instance cantonale. Les griefs formulés à l'appui de cette conclusion n'ont pas à être examinés par la Cour de céans dans le cadre de la présente procédure.</w:t>
      </w:r>
    </w:p>
    <w:p>
      <w:r>
        <w:rPr>
          <w:b/>
        </w:rPr>
        <w:t>E. 1.2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w:t>
      </w:r>
    </w:p>
    <w:p>
      <w:r>
        <w:t>Le litige porte sur le droit du recourant à des prestations complémentaires à partir du 1</w:t>
      </w:r>
    </w:p>
    <w:p>
      <w:r>
        <w:t>er septembre 2016, singulièrement sur le montant destiné à la couverture des besoins vitaux qui doit être pris en considération pour calculer celles-ci (prise en compte du montant destiné à la couverture des besoins vitaux d'une personne seule en lieu et place de celui destiné à la couverture des besoins vitaux d'un enfant).</w:t>
      </w:r>
    </w:p>
    <w:p>
      <w:r>
        <w:t>Le jugement attaqué expose de manière complète les dispositions légales et les principes jurisprudentiels relatifs à l'étendue des dépenses reconnues pour déterminer le droit à des prestations complémentaires ( art. 10 LPC ). Il suffit d'y renvoyer.</w:t>
      </w:r>
    </w:p>
    <w:p>
      <w:r>
        <w:rPr>
          <w:b/>
        </w:rPr>
        <w:t>E. 3</w:t>
      </w:r>
    </w:p>
    <w:p>
      <w:r>
        <w:t>C'est en vain que le recourant soutient que le calcul de son droit aux prestations complémentaires devait être opéré en tenant compte du montant forfaitaire destiné à la couverture des besoins vitaux des personnes seules et non de celui applicable aux enfants ayant droit à une rente d'orphelin. Dans la première hypothèse, le forfait annuel atteint 19'290 fr. s'agissant des prestations complémentaires fédérales et 25'661 fr. pour les prestations complémentaires cantonales; dans la seconde, il se monte à 10'080 fr. pour les prestations complémentaires fédérales, respectivement à 12'831 fr. pour les prestations complémentaires cantonales (cf. art. 10 al. 1 let. a ch. 1 et 3 LPC et art. 3 al. 1 let. a et c du Règlement genevois du 25 juin 1999 relatif aux prestations cantonales complémentaires à l'assurance-vieillesse et survivants et à l'assurance-invalidité [RPCC-AVS/AI; RSG J 4 25.03]).</w:t>
      </w:r>
    </w:p>
    <w:p>
      <w:r>
        <w:rPr>
          <w:b/>
        </w:rPr>
        <w:t>E. 3.1</w:t>
      </w:r>
    </w:p>
    <w:p>
      <w:r>
        <w:t>Comme l'ont relevé les premiers juges, le Tribunal fédéral a en effet jugé, dans un arrêt 9C_429/2013 du 23 octobre 2013, que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l'assurance-vieillesse, invalidité et survivants,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(arrêt 9C_429/2013 précité consid. 3.1).</w:t>
      </w:r>
    </w:p>
    <w:p>
      <w:r>
        <w:rPr>
          <w:b/>
        </w:rPr>
        <w:t>E. 3.2</w:t>
      </w:r>
    </w:p>
    <w:p>
      <w:r>
        <w:t>En l'espèce, comme l'a retenu la juridiction cantonale, l'argumentation du recourant selon laquelle la situation à la base de l'arrêt 9C_429/2013 du 23 octobre 2013 serait différente de la sienne, ne permet pas de l'exempter de l'obligation de diminuer le dommage telle qu'elle ressort de cette jurisprudence. Les motifs qu'il invoque ne suffisent en effet pas pour distinguer son cas de celui de l'étudiante dont la situation a été jugée à l'époque.</w:t>
      </w:r>
    </w:p>
    <w:p>
      <w:r>
        <w:t>En premier lieu, c'est à juste titre que l'instance de recours a considéré que le fait que le recourant ne souhaitait pas s'établir seul, mais en colocation avec sa compagne, n'était pas déterminant. Sous l'angle du droit à des prestations complémentaires, la question décisive réside en effet dans l'importance de la différence de la prise en charge financière selon que l'étudiant vit ou non chez ses parents et non dans l'éventuelle participation d'un tiers au paiement du loyer de l'étudiant.</w:t>
      </w:r>
    </w:p>
    <w:p>
      <w:r>
        <w:t>Les deux motifs avancés par le recourant afin de justifier la nécessité de vivre dans son propre logement, indépendamment de sa mère - soit le fait que l'appartement familial est trop petit pour accueillir sa compagne et les allergies que lui occasionne le gazon présent devant ledit appartement - ne lui sont non plus d'aucun secours. S'agissant du premier argument, il ressort des constatations de la juridiction cantonale que l'appartement est un cinq pièces, "parfaitement à même d'accueillir trois personnes". L'affirmation du recourant selon laquelle l'appartement serait un quatre pièces et demi et que "si on enlève le séjour qui est une pièce de passage, la cuisine (une demi-pièce), les sanitaires et tous les couloirs, il ne reste que 34 m2 habitables" ne suffit pas pour remettre en cause l'appréciation des premiers juges, dès lors que le recourant a vécu de nombreuses années dans ce logement avec sa famille. Quant à l'argument ayant trait aux allergies, l'autorité de recours a constaté qu'il ne ressortait pas du certificat médical établi par l'allergologue du recourant que l'atteinte présentait un état de gravité telle qu'elle exigeât impérieusement le déménagement de l'intéressé. La thèse du recourant est de surcroît infirmée par le fait que ce motif n'a pas d'emblée été invoqué au début de la procédure pour expliquer la nécessité de vivre de manière indépendante. A la lecture du procès-verbal de comparution personnelle établi par la juridiction cantonale le 10 juillet 2017, on constate effectivement que le recourant a indiqué qu'il n'avait "jamais pensé" à cet argument avant son déménagement, et qu'il a avancé ce motif après que sa mère a reçu le courrier du SPC lui demandant les raisons du déménagement de son fils et après avoir réfléchi avec elle au sujet de cette question. A cet égard, les griefs de l'assuré quant à la véracité des propos consignés dans ledit procès-verbal ne résistent pas à l'examen. S'il estimait que ses dires avaient été retranscrits de manière incorrecte, il lui eût en effet appartenu de demander la rectification du document avant d'y apposer sa signature.</w:t>
      </w:r>
    </w:p>
    <w:p>
      <w:r>
        <w:rPr>
          <w:b/>
        </w:rPr>
        <w:t>E. 3.3</w:t>
      </w:r>
    </w:p>
    <w:p>
      <w:r>
        <w:t>Les autres griefs que soulève le recourant contre le jugement cantonal ne sont pas davantage fondés. C'est en vain qu'il se prévaut de sa bonne foi au moment de déménager et du fait que le SPC aurait omis de le renseigner correctement en lui confirmant qu'il était en droit de déménager ( art. 27 LPGA ). On ne trouve en effet pas au dossier d'indice selon lequel l'intimé aurait donné une quelconque assurance au recourant sur la manière de calculer ses prestations complémentaires, en particulier quant au montant forfaitaire à prendre en compte pour la couverture des besoins vitaux, avant de rendre sa décision du 31 octobre 2016. Au demeurant, le SPC n'a pas la compétence d'avaliser ou non le choix de vie d'un assuré. On relèvera à cet égard, à la suite des premiers juges, que la décision litigieuse n'empêche en effet pas l'assuré de vivre de manière indépendante avec sa compagne, mais que l'assurance sociale n'a pas à prendre en charge les conséquences financières de son choix s'il n'a pas les moyens et ressources nécessaires pour concrétiser celui-ci. En tant que le recourant invoque une erreur du SPC en relation avec un dommage dont il serait responsable à son égard ( art. 78 LPGA ), il ne peut rien en tirer sous l'angle de la fixation des prestations complémentaires; un éventuel dommage ne fait en effet pas partie de la présente contestation.</w:t>
      </w:r>
    </w:p>
    <w:p>
      <w:r>
        <w:rPr>
          <w:b/>
        </w:rPr>
        <w:t>E. 3.4</w:t>
      </w:r>
    </w:p>
    <w:p>
      <w:r>
        <w:t>En conséquence de ce qui précède, on ne saurait reprocher aux premiers juges d'avoir confirmé l'application de la jurisprudence développée dans l'arrêt 9C_429/2013 du 23 octobre 2013 au cas du du recourant et, partant, la prise en compte du montant forfaitaire destiné à la couverture des besoins vitaux applicable aux enfants ayant droit à une rente d'orphelin pour calculer son droit à des prestations complémentaires.</w:t>
      </w:r>
    </w:p>
    <w:p>
      <w:r>
        <w:rPr>
          <w:b/>
        </w:rPr>
        <w:t>E. 4</w:t>
      </w:r>
    </w:p>
    <w:p>
      <w:r>
        <w:t>Le recourant voit ses conclusions rejetées, de sorte qu'il doit en principe supporter les frais de justice ( art. 66 al. 1 LTF ). Il a toutefois déposé une demande d'assistance judiciaire limitée aux frais de justice. Dès lors que les conditions d'octroi en sont réalisées, il convient de lui accorder l'assistance judiciaire dans la mesure requise ( art. 64 al. 1 et 2 LTF ). Le recourant est toutefois rendu attentif au fait qu'il devra rembourser la caisse du Tribunal fédéral s'il se trouve ultérieurement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