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9C_10/2021 vom 15. Juni 2021</w:t>
      </w:r>
    </w:p>
    <w:p>
      <w:r>
        <w:t>Bundesgericht, 2021-06-15, DE</w:t>
      </w:r>
    </w:p>
    <w:p>
      <w:r>
        <w:rPr>
          <w:b/>
        </w:rPr>
        <w:t xml:space="preserve">Quelle: </w:t>
      </w:r>
      <w:r>
        <w:t>https://mcp.opencaselaw.ch/entscheid/bger_9C_10_2021</w:t>
      </w:r>
    </w:p>
    <w:p>
      <w:r>
        <w:t>FR: TF 9C_10/2021 du 15 juin 2021</w:t>
      </w:r>
    </w:p>
    <w:p>
      <w:r>
        <w:t>IT: TF 9C_10/2021 del 15 giugno 2021</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w:t>
      </w:r>
    </w:p>
    <w:p>
      <w:r>
        <w:rPr>
          <w:b/>
        </w:rPr>
        <w:t>E. 1.2</w:t>
      </w:r>
    </w:p>
    <w:p>
      <w:r>
        <w:t>Das kantonale Gericht hat die Sache unter Aufhebung der Verfügung vom 30. Oktober 2018 zur Berechnung der halben Rente an die Beschwerdeführerin zurückgewiesen.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mit Hinweis auf SVR 2008 IV Nr. 39 S. 131, 9C_684/2007 E. 1.1). Auf die Beschwerde ist daher einzutreten ( Art. 90 BGG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Bundesrecht verletzt wurde, indem das kantonale Gericht der Beschwerdegegnerin - in Aufhebung der Verfügung vom 30. Oktober 2018 - ab 1. Oktober 2015 eine halbe Invalidenrente zugesprochen hat.</w:t>
      </w:r>
    </w:p>
    <w:p>
      <w:r>
        <w:rPr>
          <w:b/>
        </w:rPr>
        <w:t>E. 3.2</w:t>
      </w:r>
    </w:p>
    <w:p>
      <w:r>
        <w:t>Im angefochtenen Entscheid wurden die massgeblichen rechtlichen Grundlagen teils zutreffend dargelegt. Es betrifft dies namentlich die Erwägungen zur Beurteilung der verbliebenen Arbeitsfähigkeit im Rahmen eines strukturierten Beweisverfahrens anhand der sogenannten Standardindikatoren bei psychischen Erkrankungen ( BGE 141 V 281 ; vgl. auch BGE 143 V 409 , 418) sowie zum Beweiswert und zur Beweiswürdigung medizinischer Berichte und Gutachten ( BGE 125 V 351 ; vgl. auch 143 V 124 E. 2.2.2, 134 V 231 E. 5.1).</w:t>
      </w:r>
    </w:p>
    <w:p>
      <w:r>
        <w:rPr>
          <w:b/>
        </w:rPr>
        <w:t>E. 3.3</w:t>
      </w:r>
    </w:p>
    <w:p>
      <w:r>
        <w:t>Zu ergänzen bleibt Folgendes:</w:t>
      </w:r>
    </w:p>
    <w:p>
      <w:r>
        <w:rPr>
          <w:b/>
        </w:rPr>
        <w:t>E. 3.3.1</w:t>
      </w:r>
    </w:p>
    <w:p>
      <w:r>
        <w:t>Auch im Rahmen von BGE 141 V 281 gilt der Grundsatz, wonach das Invalidenversicherungsrecht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 BGE 141 V 281 E. 3.4.2.1 mit Hinweisen). Soweit soziale Belastungen direkt negative funktionelle Folgen zeitigen, bleiben sie nach wie vor ausgeklammert ( BGE 141 V 281 E. 4.3.3 mit Hinweis auf BGE 127 V 294 E. 5a; vgl. auch BGE 143 V 409 E. 4.5.2).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verselbstständigten Gesundheitsschaden aufrechterhalten oder den Wirkungsgrad seiner - unabhängig von den invaliditätsfremden Elementen bestehenden - Folgen verschlimmern (Urteil 8C_559/2019 vom 20. Januar 2020 E. 3.2 mit Hinweis).</w:t>
      </w:r>
    </w:p>
    <w:p>
      <w:r>
        <w:rPr>
          <w:b/>
        </w:rPr>
        <w:t>E. 3.3.2</w:t>
      </w:r>
    </w:p>
    <w:p>
      <w:r>
        <w:t>Sowohl die medizinischen Sachverständigen als auch die Organe der Rechtsanwendung haben sich bei ihrer Einschätzung des Leistungsvermögens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(vgl. E. 3.3.1 hiervor) und ob die Zumutbarkeitsbeurteilung auf einer objektivierten Grundlage erfolgte. Es soll keine losgelöste juristische Parallelüberprüfung nach Massgabe des strukturierten Beweisverfahrens (vgl. dazu BGE 145 V 361 )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144 V 50 E. 4.3 mit Hinweisen).</w:t>
      </w:r>
    </w:p>
    <w:p>
      <w:r>
        <w:rPr>
          <w:b/>
        </w:rPr>
        <w:t>E. 3.3.3</w:t>
      </w:r>
    </w:p>
    <w:p>
      <w:r>
        <w:t>Das Bundesgericht hat den angefochtenen Entscheid dahingehend zu prüfen, ob die Vorinstanz in Anwendung der normativen Vorgaben die Rechtsprechung umgesetzt und im Rahmen der Beweiswürdigung eine korrekte Sachverhaltsfeststellung vorgenommen hat. Frei überprüfbare Rechtsfrage ist dabei, ob und in welchem Umfang die ärztlichen Feststellungen anhand der Indikatoren nach BGE 141 V 281 auf Arbeitsunfähigkeit schliessen lassen ( BGE 141 V 281 E. 7).</w:t>
      </w:r>
    </w:p>
    <w:p>
      <w:r>
        <w:rPr>
          <w:b/>
        </w:rPr>
        <w:t>E. 4.1</w:t>
      </w:r>
    </w:p>
    <w:p>
      <w:r>
        <w:t>Das kantonale Gericht hat dem bidisziplinären Gutachten des Instituts B.________ vom 13. Februar 2018 Beweiskraft zuerkannt und gestützt darauf ab Oktober 2014 eine aus psychiatrischer Sicht 50%ige Arbeitsfähigkeit in leidensangepasster Tätigkeit angenommen.</w:t>
      </w:r>
    </w:p>
    <w:p>
      <w:r>
        <w:rPr>
          <w:b/>
        </w:rPr>
        <w:t>E. 4.2</w:t>
      </w:r>
    </w:p>
    <w:p>
      <w:r>
        <w:t>Die Beschwerdeführerin rügt, die Vorinstanz hätte mit Blick auf die Ausführungen im (ansonsten unbestritten beweiskräftigen) psychiatrischen Teilgutachten vom 3. Februar 2018 der Arbeitsfähigkeitsschätzung (50 %) von Prof. Dr. med. habil. C.________, Facharzt für Neurologie sowie Psychiatrie und Psychotherapie, bei diagnostizierter rezidivierender depressiver Störung, im Verlauf (durchschnittlich) mittelgradig, gegenwärtig leichtgradig, nicht folgen dürfen. Sodann beanstandet sie den von der Vorinstanz beim Invalideneinkommen gewährten Abzug vom Tabellenlohn in der Höhe von 15 %.</w:t>
      </w:r>
    </w:p>
    <w:p>
      <w:r>
        <w:rPr>
          <w:b/>
        </w:rPr>
        <w:t>E. 5</w:t>
      </w:r>
    </w:p>
    <w:p>
      <w:r>
        <w:t>Soweit die Beschwerdeführerin rügt, die Vorinstanz habe die Arbeitsfähigkeitsschätzung von Prof. Dr. med. habil. C.________ "tel quel" respektive "blind" übernommen, kann ihr nicht gefolgt werden: Das kantonale Gericht hat sich eingehend und differenziert mit dem Gutachten und den darin enthaltenen Angaben - insbesondere zu den vom Experten erhobenen Befunden und den Standardindikatoren - auseinandergesetzt. Weiter hat es die psychosozialen Belastungsfaktoren dahingehend berücksichtigt, als es zum Schluss kam, diese seien gemäss Prof. Dr. med. habil. C._______ zur Hauptsache verantwortlich gewesen für die Entwicklung einer krankhaften Störung im Sinne einer rezidivierenden depressiven Störung mit einer im Verlauf durchschnittlich mittelgradigen Ausprägung. In diesem Zusammenhang hat die Vorinstanz ausgeführt, der Experte habe überzeugend aufgezeigt, dass die seit der Kindheit immer wieder aufgetretenen unterschiedlichen Belastungen die Persönlichkeitsentwicklung der Beschwerdegegnerin gestört und letztlich zur Entwicklung einer krankheitswertigen depressiven Störung geführt hätten. Die Funktionsbeeinträchtigungen seien also nicht die direkte Folge von belastenden Lebensumständen, sondern Symptome einer psychischen Erkrankung gewesen (angefochtener Entscheid E. 2.4 S. 12 ff.).</w:t>
      </w:r>
    </w:p>
    <w:p>
      <w:r>
        <w:t>Diese Beurteilung ist mit Blick auf die gutachterlichen Ausführungen nachvollziehbar. So schloss Prof. Dr. med. habil. C.________ auf eine ab 2014 im Verlauf durchschnittlich mittelgradige chronifizierte depressive Störung mit handicapierenden Fähigkeitsstörungen (Verminderung der Dauerbelastung und der Durchhaltefähigkeit sowie der neurokognitiven Fähigkeiten, Expertise S. 104). Die Fähigkeitsstörungen erachtete er als mit den erhobenen neuropsychologischen Befunden vereinbar (Expertise S. 101). Damit diagnostizierte er eine verselbständigte psychopathologische Symptomatik. Dass psychosoziale Belastungsfaktoren (hauptsächlich) verantwortlich waren für das Beschwerdebild und dieses auch weiterhin unterhalten, spielt dabei keine entscheidende Rolle. Denn wie die Vorinstanz korrekt ausgeführt hat, haben rechtsprechungsgemäss lediglich die direkten Folgen von ungünstigen Lebensumständen bei der Arbeitsfähigkeitsschätzung ausser Acht zu bleiben, nicht jedoch Funktionseinschränkungen, die durch eine Gesundheitsbeeinträchtigung hervorgerufen wurden (auch wenn der krankhafte Zustand selbst durch psychosoziale Faktoren verursacht wurde und/oder unterhalten wird, vgl. E. 3.3.1 hiervor).</w:t>
      </w:r>
    </w:p>
    <w:p>
      <w:r>
        <w:t>Soweit die Beschwerdeführerin eine eigene - vom Gutachten abweichende - Prüfung vornimmt, handelt es sich um eine unzulässige juristische Parallelüberprüfung (dazu BGE 145 V 361 ).</w:t>
      </w:r>
    </w:p>
    <w:p>
      <w:r>
        <w:rPr>
          <w:b/>
        </w:rPr>
        <w:t>E. 6</w:t>
      </w:r>
    </w:p>
    <w:p>
      <w:r>
        <w:t>Bei im Übrigen unsubstanziierter Bestreitung hinsichtlich der Bemessung des Invaliditätsgrades kann offen gelassen werden, ob die Vorinstanz mit der Gewährung eines Tabellenabzuges im Umfang von 15 % Bundesrecht verletzt hat: Auch ohne den entsprechenden Abzug resultierte ein zu einer halben Invalidenrente berechtigender Invaliditätsgrad von 50 % (Valideneinkommen: 100 %, Invalideneinkommen: 50 %; vgl. angefochtener Entscheid E. 2.5 S. 15 f.). Die Beschwerde ist unbegründet.</w:t>
      </w:r>
    </w:p>
    <w:p>
      <w:r>
        <w:rPr>
          <w:b/>
        </w:rPr>
        <w:t>E. 7</w:t>
      </w:r>
    </w:p>
    <w:p>
      <w:r>
        <w:t>Das Gesuch um aufschiebende Wirkung wird mit dem heutigen Urteil gegenstandslos.</w:t>
      </w:r>
    </w:p>
    <w:p>
      <w:r>
        <w:rPr>
          <w:b/>
        </w:rPr>
        <w:t>E. 8</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