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9C_10/2020 vom 7. Februar 2020</w:t>
      </w:r>
    </w:p>
    <w:p>
      <w:r>
        <w:t>Bundesgericht, 2020-02-07, DE</w:t>
      </w:r>
    </w:p>
    <w:p>
      <w:r>
        <w:rPr>
          <w:b/>
        </w:rPr>
        <w:t xml:space="preserve">Quelle: </w:t>
      </w:r>
      <w:r>
        <w:t>https://mcp.opencaselaw.ch/entscheid/bger_9C_10_2020</w:t>
      </w:r>
    </w:p>
    <w:p>
      <w:r>
        <w:t>FR: TF 9C_10/2020 du 7 février 2020</w:t>
      </w:r>
    </w:p>
    <w:p>
      <w:r>
        <w:t>IT: TF 9C_10/2020 del 7 febbraio 2020</w:t>
      </w:r>
    </w:p>
    <w:p>
      <w:pPr>
        <w:pStyle w:val="Heading2"/>
      </w:pPr>
      <w:r>
        <w:t>Volltext</w:t>
      </w:r>
    </w:p>
    <w:p>
      <w:r>
        <w:t>Bundesgericht</w:t>
      </w:r>
    </w:p>
    <w:p>
      <w:r>
        <w:t>Tribunal fédéral</w:t>
      </w:r>
    </w:p>
    <w:p>
      <w:r>
        <w:t>Tribunale federale</w:t>
      </w:r>
    </w:p>
    <w:p>
      <w:r>
        <w:t>Tribunal federal</w:t>
      </w:r>
    </w:p>
    <w:p>
      <w:r>
        <w:t>9C_10/2020</w:t>
      </w:r>
    </w:p>
    <w:p>
      <w:r>
        <w:t>Urteil vom 7. Februar 2020</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Arcosana AG,</w:t>
      </w:r>
    </w:p>
    <w:p>
      <w:r>
        <w:t>Tribschenstrasse 21, 6002 Luzern,</w:t>
      </w:r>
    </w:p>
    <w:p>
      <w:r>
        <w:t>Beschwerdegegnerin.</w:t>
      </w:r>
    </w:p>
    <w:p>
      <w:r>
        <w:t>Gegenstand</w:t>
      </w:r>
    </w:p>
    <w:p>
      <w:r>
        <w:t>Krankenversicherung,</w:t>
      </w:r>
    </w:p>
    <w:p>
      <w:r>
        <w:t>Beschwerde gegen die Verfügung des Sozialversicherungsgerichts des Kantons Zürich</w:t>
      </w:r>
    </w:p>
    <w:p>
      <w:r>
        <w:t>vom 6. Dezember 2019 (KV.2019.00033).</w:t>
      </w:r>
    </w:p>
    <w:p>
      <w:r>
        <w:t>Nach Einsicht</w:t>
      </w:r>
    </w:p>
    <w:p>
      <w:r>
        <w:t>in die Beschwerde vom 3. Januar 2020 (Poststempel) gegen den Entscheid des Sozialversicherungsgerichts des Kantons Zürich vom 6. Dezember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betreffenden Entscheids massgeblichen Erwägungen einzugehen und im Einzelnen aufzuzeigen ist, welche Vorschriften und weshalb sie von der Vorinstanz verletzt worden sind ( BGE 134 V 53 E. 3.3 S. 60; 133 IV 286 E. 1.4 S. 287), während rein appellatorische Kritik nicht genügt ( BGE 145 I 26 E. 1.3 S. 30 mit Hinweisen),</w:t>
      </w:r>
    </w:p>
    <w:p>
      <w:r>
        <w:t>dass die Vorinstanz das Erläuterungsgesuch des Beschwerdeführers mit der Begründung abwies, dass sich aus den Darlegungen in der Beschwerde nicht erschliesse, inwiefern das Dispositiv unklar, widersprüchlich oder unvollständig sei oder mit der Begründung des Entscheides im Widerspruch stehe, weshalb bei dieser Sachlage kein Anlass für eine Erläuterung bestehe,</w:t>
      </w:r>
    </w:p>
    <w:p>
      <w:r>
        <w:t>dass sich der Beschwerdeführer mit dieser Erwägung nicht auseinandersetzt, sondern sich darauf beschränkt, das bereits im kantonalen Verfahren Vorgebrachte zu wiederholen,</w:t>
      </w:r>
    </w:p>
    <w:p>
      <w:r>
        <w:t>dass die Eingabe des Beschwerdeführers damit den gesetzlichen Mindestanforderungen an eine hinreichende Beschwerdebegründung offensichtlich nicht genügt,</w:t>
      </w:r>
    </w:p>
    <w:p>
      <w:r>
        <w:t>dass dies namentlich auch gilt hinsichtlich des nicht näher substanziierten Vorwurfs, es seien verfassungsmässige Rechte (namentlich der Anspruch auf rechtliches Gehör) verletzt worden, für welche Rüge die qualifizierten Begründungsanforderungen nach Art. 106 Abs. 2 BGG offensichtlich ebenfalls nicht erfüllt sind,</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7. Februar 2020</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