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109/2023 vom 19. Juni 2023</w:t>
      </w:r>
    </w:p>
    <w:p>
      <w:r>
        <w:t>Bundesgericht, 2023-06-19, DE</w:t>
      </w:r>
    </w:p>
    <w:p>
      <w:r>
        <w:rPr>
          <w:b/>
        </w:rPr>
        <w:t xml:space="preserve">Quelle: </w:t>
      </w:r>
      <w:r>
        <w:t>https://mcp.opencaselaw.ch/entscheid/bger_9C_109_2023</w:t>
      </w:r>
    </w:p>
    <w:p>
      <w:r>
        <w:t>FR: TF 9C 109/2023 du 19 juin 2023</w:t>
      </w:r>
    </w:p>
    <w:p>
      <w:r>
        <w:t>IT: TF 9C 109/2023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20. Juli 2021 veranlagte die kantonale Steuerverwaltung Appenzell Ausserrhoden nach zweimaliger Mahnung (erste Mahnung am 28. Juli 2020, zweite Mahnung am 15. September 2020) die A.________ AG, die bis zu diesem Zeitpunkt weder die Steuererklärung noch andere Unterlagen eingereicht hatte, für die Steuerperiode 2019 nach Ermessen. Basierend auf einem Reingewinn von Fr. 0.- und einem Eigenkapital von Fr. 2'000.- setzte sie die Staats- und Gemeindesteuern auf die gesetzlich vorgesehene Mindeststeuer von Fr. 900.- fest. Es wurde keine direkte Bundessteuer erhoben. Am 23. August 2021 reichte die A.________ AG eine Einsprache bei der kantonalen Steuerverwaltung ein und beantragte die Feststellung, dass die Ermessensveranlagung und Schlussrechnungen nichtig seien. Ausserdem sei das Verfahren bis auf Weiteres zu sistieren, bis die A.________ AG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soweit es darauf eintrat. Mit Beschwerde in öffentlich-rechtlichen Angelegenheiten vom 30. Januar 2023 beantragt die A.________ AG in erster Linie die Sistierung des Verfahrens bis zum 30. September 2023, eventualiter mit Zustimmung der Vorinstanzen. Subeventualiter beantragt die A.________ AG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AG nimmt erneut Stellung.</w:t>
      </w:r>
    </w:p>
    <w:p>
      <w:r>
        <w:rPr>
          <w:b/>
        </w:rPr>
        <w:t>E. 2</w:t>
      </w:r>
    </w:p>
    <w:p>
      <w:r>
        <w:t>Die Beschwerde richtet sich gegen einen Endentscheid einer oberen kantonalen Instanz in einer öffentlich-rechtlichen Angelegenheit (Art. 82, 86 Abs. 1 lit. d und Abs. 2 sowie Art. 90 BGG ). Nach Art. 89 Abs. 1 lit. c BGG ist zur Beschwerde in öffentlich-rechtlichen Angelegenheiten berechtigt, wer ein schutzwürdiges Interesse an der Aufhebung oder Änderung des angefochtenen Entscheids hat. Da die Steuerverwaltung infolge Verrechnung von Vorjahresverlusten gar keine direkte Bundessteuer ("Nullveranlagung") und bei den Staats- und Gemeindesteuern nur die gesetzlich vorgesehene Mindeststeuer erhoben hat, verfügt die Beschwerdeführerin offensichtlich über kein schutzwürdiges Interesse an der Beschwerdeführung (vgl. auch angefochtenes Urteil E. 1.4; BGE 140 I 114 E. 2.4.1; Urteil 2C_987/2020 vom 22. Juni 2021 E. 1.3). Auf die Beschwerde ist demnach nicht einzutreten, soweit die direkte Bundessteuer betroffen ist. Bezüglich die Staats- und Gemeindesteuer sieht Art. 73 Abs. 2 StHG (SR 642.14) ein spezialgesetzliches Beschwerderecht im Sinne von Art. 89 Abs. 2 lit. d BGG für die Steuerpflichtigen vor, soweit gemäss Art. 73 Abs. 1 StHG eine harmonisierte Materie betroffen ist. Für das analoge Beschwerderecht der nach kantonalem Recht zuständigen Behörde hat das Bundesgericht entschieden, dass bereits ein formaler Bezug zum Steuerharmonisierungsrecht genügt ( BGE 134 I 303 E. 1.2). Ob dasselbe auch gilt, wenn die steuerpflichtige Person ohne schutzwürdiges Interesse Beschwerde führt, oder von ihr in diesem Fall zumindest verlangt werden kann, dass sie die Verletzung harmonisierten Steuerrechts rügt, kann hier offen bleiben, weil sich die Beschwerde ohnehin als offensichtlich unbegründet erweist.</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(Art. 169 des Steuergesetzes des Kantons Appenzell Ausserrhoden vom 21. Mai 2000 [StG/AR; bGS 621.11] und Art. 46 Abs. 3 StHG ).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soweit darauf einzutreten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Dies alleine würde zwar für eine Kostenauflage ohne Vorwarnung noch nicht genügen. Vorliegend kommt jedoch erschwerend hinzu, dass der Rechtsvertreter Beschwerde geführt hat, obschon ihn bereits die Vorinstanz in aller Deutlichkeit darauf hingewiesen hatte, dass jedenfalls bezüglich die direkte Bundessteuer kein schutzwürdiges Interesse bestehe (vgl. angefochtenes Urteil E. 1.4). Die Beschwerde an das Bundesgericht war demnach offensichtlich unzulässig, soweit sie die direkte Bundessteuer betraf. Es rechtfertigt sich deshalb, die Gerichtskosten je hälftig dem Rechtsvertreter und der Beschwerdeführerin aufzuerlegen.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