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9C_109/2012 vom 19. Juni 2012</w:t>
      </w:r>
    </w:p>
    <w:p>
      <w:r>
        <w:t>Bundesgericht, 2012-06-19, DE</w:t>
      </w:r>
    </w:p>
    <w:p>
      <w:r>
        <w:rPr>
          <w:b/>
        </w:rPr>
        <w:t xml:space="preserve">Quelle: </w:t>
      </w:r>
      <w:r>
        <w:t>https://mcp.opencaselaw.ch/entscheid/bger_9C_109_2012</w:t>
      </w:r>
    </w:p>
    <w:p>
      <w:r>
        <w:t>FR: TF 9C_109/2012 du 19 juin 2012</w:t>
      </w:r>
    </w:p>
    <w:p>
      <w:r>
        <w:t>IT: TF 9C_109/2012 del 19 giugno 2012</w:t>
      </w:r>
    </w:p>
    <w:p>
      <w:pPr>
        <w:pStyle w:val="Heading2"/>
      </w:pPr>
      <w:r>
        <w:t>Erwägungen</w:t>
      </w:r>
    </w:p>
    <w:p>
      <w:r>
        <w:rPr>
          <w:b/>
        </w:rPr>
        <w:t>E. 1</w:t>
      </w:r>
    </w:p>
    <w:p>
      <w:r>
        <w:t>Die angefochtene Dispositiv-Ziffer 3 der vorinstanzlichen Verfügung setzt die Parteientschädigung für das Verfahren vor dem Verwaltungsgericht des Kantons Luzern fest, in welchem der anwaltlich vertretene Beschwerdeführer zufolge Aufhebung der angefochtenen Verwaltungsverfügung durch die IV-Stelle in formeller Hinsicht als obsiegend gilt. Es handelt sich um einen Endentscheid im Sinne von Art. 90 BGG .</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Nach Art. 61 lit. g ATSG hat die obsiegende Beschwerde führende Person im kantonalen Verfahren Anspruch auf Ersatz der Parteikosten, wobei diese vom Versicherungsgericht festgesetzt und ohne Rücksicht auf den Streitwert nach der Bedeutung der Streitsache und nach der Schwierigkeit des Prozesses bemessen werden.</w:t>
      </w:r>
    </w:p>
    <w:p>
      <w:r>
        <w:rPr>
          <w:b/>
        </w:rPr>
        <w:t>E. 3.2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Das gilt insbesondere mit Bezug auf den vom kantonalen Versicherungsgericht angewendeten Tarif (SVR 2011 AHV Nr. 7 S. 23; Urteil 9C_688/2009 vom 19. November 2009).</w:t>
      </w:r>
    </w:p>
    <w:p>
      <w:r>
        <w:rPr>
          <w:b/>
        </w:rPr>
        <w:t>E. 4.1</w:t>
      </w:r>
    </w:p>
    <w:p>
      <w:r>
        <w:t>Der Beschwerdeführer rügt, die Vorinstanz habe das Verfahren als erledigt erklärt, ohne ihm Kenntnis von der Vernehmlassung der IV-Stelle und Gelegenheit zur Stellungnahme zu geben. Somit sei es ihm verwehrt worden, den Stundenaufwand für die anwaltlichen Bemühungen kundzutun. Bei einem (tiefen) Stundenansatz für die unentgeltliche Verbeiständung von Fr. 230.- gemäss Weisung des Obergerichts des Kantons Luzern entspreche die gewährte Parteientschädigung von Fr. 1'500.- einem Aufwand von sechs Stunden, zuzüglich Mehrwertsteuer und Auslagen. Tatsächlich habe der Aufwand 14,75 Stunden betragen, was bei der zugesprochenen Entschädigung von Fr. 1'500.- einen willkürlich tiefen Stundenansatz von Fr. 91.- ergebe.</w:t>
      </w:r>
    </w:p>
    <w:p>
      <w:r>
        <w:rPr>
          <w:b/>
        </w:rPr>
        <w:t>E. 4.2</w:t>
      </w:r>
    </w:p>
    <w:p>
      <w:r>
        <w:t>Die kantonale Instanz ist bei der Bemessung der Parteientschädigung von Bundesrechts wegen nicht an die geltend gemachten Honoraransprüche gebunden, weshalb Art. 29 Abs. 2 BV nicht verletzt ist, wenn auf die Einholung einer Kostennote verzichtet wird. Soweit der Beschwerdeführer rügt, das kantonale Gericht habe seinen Anspruch auf rechtliches Gehör dadurch verletzt, dass es keine Honorarnote seines Rechtsvertreters einholte, sind seine Vorbringen unbegründet (SVR 2011 AHV Nr. 7 S. 23 mit Hinweisen).</w:t>
      </w:r>
    </w:p>
    <w:p>
      <w:r>
        <w:rPr>
          <w:b/>
        </w:rPr>
        <w:t>E. 4.3</w:t>
      </w:r>
    </w:p>
    <w:p>
      <w:r>
        <w:t>Nach der Rechtsprechung kann die Parteientschädigung für das Verfahren vor dem kantonalen Versicherungsgericht willkürfrei innerhalb einer Bandbreite von Fr. 160.- bis Fr. 320.- pro Stunde (einschliesslich Mehrwertsteuer) festgelegt werden (SVR 2002 AlV Nr. 3 S. 5 E. 4c). Mit dem zugesprochenen Honorar von Fr. 1'500.- wäre bei einem Stundenansatz von Fr. 180.-, wie er in der Regel als Mindestansatz im Falle unentgeltlicher Verbeiständung gilt (SVR 2011 AHV Nr. 7 S. 23), somit ein Aufwand von knapp 8,5 Stunden entschädigt. Der Beschwerdeführer macht unter Beilage der Kostennote seines Rechtsvertreters einen Aufwand von 14,75 Stunden und einen Stundenansatz von Fr. 230.- geltend, woraus die geforderte Parteientschädigung von Fr. 3'392.50, zuzüglich Auslagen und Mehrwertsteuer, resultiert. Der geltend gemachte Aufwand von rund 15 Arbeitsstunden steht in keinem vernünftigen Verhältnis zur Bedeutung der Streitsache und zur Schwierigkeit des Prozesses; vielmehr erscheint er unangemessen hoch. Wie das Verwaltungsgericht in der Vernehmlassung zutreffend darlegt, wurde mit der angefochtenen Verfügung vom 20. Oktober 2011 die Auszahlung der Invalidenrente an den Versicherten vorläufig sistiert. In materieller Hinsicht war mit dieser Verfügung nichts entschieden. Insbesondere war die laufende Rente damit nicht aufgehoben worden. Dies geht auch daraus hervor, dass die IV-Stelle dem Beschwerdeführer bereits am 6. Februar 2012, 3 1/2 Monate nach der vorläufigen Renteneinstellung verfügungsweise eröffnete, er habe rückwirkend seit der Sistierung wiederum Anspruch auf Ausrichtung der ganzen Rente. Unter diesen Umständen hätte sich eine Beschwerde gegen die Sistierungsverfügung in erster Linie mit deren formellen Aspekten befassen müssen. Der restliche vom Rechtsvertreter des Versicherten betriebene Aufwand, der u.a. medizinische Aspekte und die Öffentlichkeit des Verfahrens, aber auch die Vorgehensweise der Verwaltung betrifft und unter Einschluss der prozessrechtlichen Thematik zu einer umfangreichen Beschwerdeschrift von 17 Seiten geführt hat, war überflüssig und ist von der IV-Stelle nicht zu entschädigen. Denn unnötige Kosten begründen keinen Anspruch auf Parteientschädigung (Urteil des Bundesgerichts 2A.378/2004 vom 16. Februar 2005). Die zugesprochene Parteientschädigung von Fr. 1'500.- verstösst nicht gegen Art. 61 lit. g ATSG und hält vor dem Willkürverbot stand.</w:t>
      </w:r>
    </w:p>
    <w:p>
      <w:r>
        <w:rPr>
          <w:b/>
        </w:rPr>
        <w:t>E. 5</w:t>
      </w:r>
    </w:p>
    <w:p>
      <w:r>
        <w:t>Dem Gesuch um unentgeltliche Prozessführung und Verbeiständung kann nicht stattgegeben werden, da die Beschwerde als aussichtslos (zum Begriff der Aussichtslosigkeit siehe BGE 129 I 135 E. 2.3.1, 128 I 236) bezeichnet werden muss, weshalb die Voraussetzungen nach Art. 64 Abs. 1 BGG nicht erfüllt sind. Die Gerichtskosten sind daher dem Verfahrensausgang entsprechend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