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9C_109/2010 vom 28. April 2010</w:t>
      </w:r>
    </w:p>
    <w:p>
      <w:r>
        <w:t>Bundesgericht, 2010-04-28, DE</w:t>
      </w:r>
    </w:p>
    <w:p>
      <w:r>
        <w:rPr>
          <w:b/>
        </w:rPr>
        <w:t xml:space="preserve">Quelle: </w:t>
      </w:r>
      <w:r>
        <w:t>https://mcp.opencaselaw.ch/entscheid/bger_9C_109_2010</w:t>
      </w:r>
    </w:p>
    <w:p>
      <w:r>
        <w:t>FR: TF 9C_109/2010 du 28 avril 2010</w:t>
      </w:r>
    </w:p>
    <w:p>
      <w:r>
        <w:t>IT: TF 9C_109/2010 del 28 aprile 2010</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w:t>
      </w:r>
    </w:p>
    <w:p>
      <w:r>
        <w:rPr>
          <w:b/>
        </w:rPr>
        <w:t>E. 2</w:t>
      </w:r>
    </w:p>
    <w:p>
      <w:r>
        <w:t>In formeller Hinsicht rügt der Beschwerdeführer die Verletzung des rechtlichen Gehörs durch die Vorinstanz. So sei ihm weder zu den beim Kreisgericht edierten Strafakten (Verfahren wegen Widerhandlungen gegen das Betäubungsmittelgesetz durch An- und Verkauf von Rauchhanf und dessen Lagerung zum Verkauf) noch zur Vernehmlassung der Ausgleichskasse noch zu den Stellungnahmen der Beigeladenen Gelegenheit zu Bemerkungen eingeräumt worden. Dazu führt die Vorinstanz in der Vernehmlassung zutreffend aus, dass dem Beschwerdeführer im kantonalen Verfahren das Akteneditionsbegehren des Gerichts und die Vernehmlassung der Ausgleichskasse zur Kenntnisnahme zugestellt worden sind. Er hatte die Möglichkeit, sich zu äussern und Einblick in die (ihm schon bekannten) Strafakten zu nehmen. Die Beigeladenen haben vorinstanzlich keine Stellungnahme eingereicht.</w:t>
      </w:r>
    </w:p>
    <w:p>
      <w:r>
        <w:rPr>
          <w:b/>
        </w:rPr>
        <w:t>E. 3</w:t>
      </w:r>
    </w:p>
    <w:p>
      <w:r>
        <w:t>Materiell streitig ist nur, ob der Beschwerdeführer für die Beitragsausstände der Gesellschaft der Jahre 2003 und 2004 solidarisch haftbar gemacht werden kann, was dieser mit dem Hinweis verneint, er habe in der fraglichen Zeit keine Möglichkeit der Einflussnahme auf die Verwaltung und Führung der Gesellschaft mehr gehabt und sei damals faktisch bereits als Organ ausgeschieden.</w:t>
      </w:r>
    </w:p>
    <w:p>
      <w:r>
        <w:rPr>
          <w:b/>
        </w:rPr>
        <w:t>E. 3.1</w:t>
      </w:r>
    </w:p>
    <w:p>
      <w:r>
        <w:t>Die zur subsidiären Haftung der Organe eines Arbeitgebers nach Art. 52 AHVG und der dazu ergangenen Rechtsprechung erforderlichen Voraussetzungen (Organstellung, Schaden, Widerrechtlichkeit, Verschulden, Kausalität, Nichtverwirkung) sind im angefochtenen Entscheid korrekt dargelegt (E. 1.1-1.6, 2.2).</w:t>
      </w:r>
    </w:p>
    <w:p>
      <w:r>
        <w:rPr>
          <w:b/>
        </w:rPr>
        <w:t>E. 3.2</w:t>
      </w:r>
    </w:p>
    <w:p>
      <w:r>
        <w:t>Die Vorinstanz hat für das Bundesgericht grundsätzlich verbindlich ( Art. 105 Abs. 1 BGG ) festgestellt, dass der Beschwerdeführer aus der GmbH mit deren Auflösung ausgeschieden ist. Wie sie zutreffend anführt, ist nach der Rechtsprechung für das Ende der Organstellung auf das Datum des tatsächlichen Ausscheidens aus der Gesellschaft abzustellen (anstelle vieler vgl. BGE 126 V 61 E. 4a sowie Marco Reichmuth, Die Haftung des Arbeitgebers und seiner Organe nach Art. 52 AHVG , Diss. Freiburg 2008, Rz. 244 f. mit Hinweisen) und haftet eine Person grundsätzlich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Marco Reichmuth, a.a.O., Rz. 256 f. mit Hinweisen).</w:t>
      </w:r>
    </w:p>
    <w:p>
      <w:r>
        <w:rPr>
          <w:b/>
        </w:rPr>
        <w:t>E. 3.3</w:t>
      </w:r>
    </w:p>
    <w:p>
      <w:r>
        <w:t>Im Hinblick darauf, dass die Praxis für den Nachweis des Ausscheidens bei unverändert belassenem Handelsregistereintrag einen höheren Beweisgrad als eine überwiegende Wahrscheinlichkeit verlangt (das Ausscheiden muss "klar ausgewiesen" sein; zum Ganzen BGE 126 V 61 E. 4b S. 62), könnte die vorinstanzliche Sachverhaltsfeststellung, der Beschwerdeführer sei während der Jahre 2003 und 2004 als Organ effektiv noch nicht ausgeschieden gewesen, als nicht offensichtlich unrichtig bestätigt werden. Im Lichte der ständigen Praxis jedoch, wonach die Verantwortlichkeit längstens bis zum Moment des tatsächlichen Austritts aus dem Verwaltungsrat dauert, also dem Zeitpunkt, in welchem die Funktion tatsächlich nicht mehr ausgeübt wird (Urteile H 15/04 vom 8. Februar 2005 E. 2.2; H 263/02 vom 6. Februar 2003 E. 3.2), kann aus den vorinstanzlichen Sachverhaltsfeststellungen nicht willkürfrei gefolgert werden, der Beschwerdeführer habe bis zur Auflösung der Gesellschaft Organstellung gehabt. Nach der Rechtsprechung ist das faktische Aufhören der Organstellung auch dann relevant, wenn es vor einem ausdrücklichen Rücktrittsschreiben erfolgt (Urteil H 15/04, a.a.O., E. 2.2), z.B. infolge Arbeitsunfähigkeit (Urteil H 263/02, a.a.O., E. 3.3) oder wenn sonst erstellt ist, dass kein Einfluss auf den Geschäftsgang erfolgt ist (Urteil H 15/04, a.a.O., E. 4.2.3). Die Vorinstanz konstatiert selber, dass der Beschwerdeführer von August 2003 bis Ende 2003 arbeitsunfähig gewesen und der Kontakt zu M.________ Ende 2003 abgebrochen ist. Aus dem vorinstanzlich festgestellten Sachverhalt folgt somit, dass der Beschwerdeführer spätestens Ende Dezember 2003 faktisch aus der Firma ausgeschieden ist. Es bezieht sich denn auch kein einziges der von der Vorinstanz in E. 6.3.2 aufgeführten Elemente auf das Jahr 2004. Der Beschwerdeführer ist daher von der Schadenersatzpflicht für die für das betreffende Jahr ausgefallenen Sozialversicherungsbeiträge zu entbinden, wodurch sich der Schadensbetrag beider Jahre von Fr. 16'291.- um Fr. 1'712.55 (2004) auf Fr. 14'578.45 (2003) reduziert.</w:t>
      </w:r>
    </w:p>
    <w:p>
      <w:r>
        <w:rPr>
          <w:b/>
        </w:rPr>
        <w:t>E. 3.4</w:t>
      </w:r>
    </w:p>
    <w:p>
      <w:r>
        <w:t>Für das Jahr 2003 indes ist dem Beschwerdeführer der erforderliche Nachweis nicht gelungen, weshalb es bei der Verantwortlichkeit des formellen Organs bleibt, welches für den entstandenen Schaden einzustehen hat. Verwaltung und Vorinstanz haben zutreffend befunden, dass der Beschwerdeführer seinen Aufsichts- und Kontrollpflichten als Geschäftsführer der GmbH nicht in hinreichendem Ausmass nachgekommen ist und damit die Sorgfaltspflicht als Organ der Gesellschaft in zumindest grobfahrlässiger Weise verletzt hat, ohne dass aufgrund seiner Vorbringen und der Akten Anhaltspunkte für besondere Umstände bestehen, welche dieses Verhalten rechtfertigen oder entschuldigen würden.</w:t>
      </w:r>
    </w:p>
    <w:p>
      <w:r>
        <w:rPr>
          <w:b/>
        </w:rPr>
        <w:t>E. 4</w:t>
      </w:r>
    </w:p>
    <w:p>
      <w:r>
        <w:t>Hat keine Partei vollständig obsiegt, können die Kosten verhältnismässig verlegt werden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