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108/2013 vom 24. Juli 2013</w:t>
      </w:r>
    </w:p>
    <w:p>
      <w:r>
        <w:t>Bundesgericht, 2013-07-24, DE</w:t>
      </w:r>
    </w:p>
    <w:p>
      <w:r>
        <w:rPr>
          <w:b/>
        </w:rPr>
        <w:t xml:space="preserve">Quelle: </w:t>
      </w:r>
      <w:r>
        <w:t>https://mcp.opencaselaw.ch/entscheid/bger_9C_108_2013</w:t>
      </w:r>
    </w:p>
    <w:p>
      <w:r>
        <w:t>FR: TF 9C 108/2013 du 24 juillet 2013</w:t>
      </w:r>
    </w:p>
    <w:p>
      <w:r>
        <w:t>IT: TF 9C 108/2013 del 24 luglio 2013</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(z.B. SVR 2011 BVG Nr. 24 S. 91 E. 1.2 mit Hinweis).</w:t>
      </w:r>
    </w:p>
    <w:p>
      <w:r>
        <w:rPr>
          <w:b/>
        </w:rPr>
        <w:t>E. 2</w:t>
      </w:r>
    </w:p>
    <w:p>
      <w:r>
        <w:t>Streitig und zu prüfen ist, ob es offensichtlich unhaltbar ist, den Zeitpunkt des Eintritts der Arbeitsunfähigkeit und damit den Beginn der Wartezeit auf den 1. März 2005 festzulegen. Praxisgemäss wird jene nach aArt. 29 Abs. 1 lit. b IVG (gültig bis 31. Dezember 2007; seither: Art. 28 Abs. 1 lit. b IVG ) schon bei einer Einschränkung von 20 % eröffnet (AHI 1998 124; I 411/96). Dass der Kläger seit Ablauf der Wartezeit Anspruch auf eine Rente der Invalidenversicherung für einen Invaliditätsgrad von 100 % hat, ist unbestritten.</w:t>
      </w:r>
    </w:p>
    <w:p>
      <w:r>
        <w:rPr>
          <w:b/>
        </w:rPr>
        <w:t>E. 3.1</w:t>
      </w:r>
    </w:p>
    <w:p>
      <w:r>
        <w:t>Die Beschwerdeführerin erhebt den Vorwurf, was den Beginn der Arbeitsunfähigkeit anbelange, habe die Vorinstanz die Beweislage willkürlich gewürdigt. Sie bringt vor, eine während des Vorsorgeverhältnisses eingetretene Arbeitsunfähigkeit wegen eines psychischen Leidens sei zwar als möglich anzusehen, nicht aber mit überwiegender Wahrscheinlichkeit erstellt. Die Beweislosigkeit wirke sich zu Lasten des Beschwerdegegners aus, der aus dem unbewiesenen Sachverhalt Rechte ableiten wolle. Aus der Zusammenstellung der medizinischen Akten gehe hervor, dass keine echtzeitlichen medizinischen Unterlagen über den von der IV-Stelle zu Unrecht auf den 1. März 2005 festgelegten Beginn der Arbeitsunfähigkeit vorlägen. Solche echtzeitlichen medizinischen Unterlagen würden gerade bei Schubkrankheiten verlangt, um den berufsvorsorgerechtlich relevanten Eintritt der Arbeitsunfähigkeit hinreichend nachzuweisen. Nach der Rechtsprechung belege das Bestehen von langjährigen gesundheitlichen (psychischen) Problemen für sich allein - ohne ärztliche Bescheinigung einer andauernden Arbeitsfähigkeitseinschränkung - keinen Eintritt einer rentenbegründenden Arbeitsunfähigkeit während oder unmittelbar nach Beendigung eines Arbeitsverhältnisses. Die von der IV-Stelle getroffene Festlegung des Eintritts der invalidisierenden Arbeitsunfähigkeit auf den 1. März 2005 sei offensichtlich unrichtig.</w:t>
      </w:r>
    </w:p>
    <w:p>
      <w:r>
        <w:rPr>
          <w:b/>
        </w:rPr>
        <w:t>E. 3.2</w:t>
      </w:r>
    </w:p>
    <w:p>
      <w:r>
        <w:t>Die Vorinstanz erwog nach ausführlicher Würdigung der medizinischen Akten, es stehe fest und sei unbestritten, dass der Kläger bereits vor der erstmaligen - durch seine Angehörigen notfallmässig veranlassten - Arztkonsultation im September 2005 unter einer paranoid-halluzinatorischen Schizophrenie litt und dadurch erheblich in seiner Leistungsfähigkeit eingeschränkt gewesen sei. Die Tatsache, dass ihm vor September 2005 echtzeitlich keine Arbeitsunfähigkeit bescheinigt worden sei, lasse nicht auf das Fehlen einer solchen schliessen. Der Kläger habe im Kündigungsschreiben vom 1. März 2005 ausgeführt, es sei nicht mehr möglich, in der Busabteilung weiterzuarbeiten. Er sehe sich daher zur sofortigen Kündigung gezwungen. Die Arbeitgeberin habe die unmittelbare Auflösung des Arbeitsverhältnisses offenbar ohne Weiteres akzeptiert. Wenn sich retrospektiv auch nicht mit Sicherheit feststellen lasse, wann die invalidisierende Arbeitsunfähigkeit genau eingetreten sei, so erscheine aufgrund der gesamten Umstände zumindest vertretbar, dass die IV-Stelle davon ausgegangen sei, die anhaltende Arbeitsunfähigkeit bestehe bereits seit dem 1. März 2005. Das vom Kläger beschriebene Mobbing durch die Mitarbeiter, das darin bestanden haben soll, dass sie ihn beobachteten und über ihn sprachen, lasse sich durchaus mit Wahrnehmungsstörungen erklären, wie sie für die diagnostizierte paranoid-halluzinatorische Schizophrenie typisch seien. Dr. med. B.________, Facharzt FMH für Allgemeine Medizin, der im Herbst 2005 die Hospitalisation mittels Fürsorgerischer Freiheitsentziehung (FFE) (mit) veranlasst hatte, habe denn am 19. Januar 2010 auch explizit festgehalten, das vom Kläger empfundene Mobbing sei ein Frühsymptom der paranoiden Psychose gewesen und die Kündigung insofern krankheitsbedingt erfolgt. Die stationär behandelnden Ärzte der Psychiatrischen Klinik Y.________ seien im November 2005 zum Schluss gelangt, dass der Kläger, der sich seit mindestens März 2005 beobachtet fühlte, seit mehreren Monaten unter psychotischen Symptomen leide. Dies hätten auch die Ärzte der Psychiatrischen Dienste C.________ vermutet, die wiederholt zum Ausdruck gebracht hätten, dass die Kündigung möglicherweise mit schizophrenieformen Prodromalsymptomen zu erklären und damit krankheitsbedingt erfolgt sei. Dass die im Sommer 2005 und spätestens Mitte September 2005 völlig exazerbierte psychische Symptomatik bereits anfangs März 2005 eine mindestens 20%ige Einschränkung der Arbeitsfähigkeit verursacht habe, lasse sich schon daraus schliessen, dass der Kläger das ihn psychisch offenbar massiv belastende Arbeitsverhältnis fristlos kündigte, obwohl ihm die Arbeit an sich zugesagt habe. Dass die Arbeitgeberin nicht auf die Einhaltung der Kündigungsfrist beharrt habe, spreche jedenfalls nicht für eine Zufriedenheit mit der Leistung des Klägers. Auch der Umstand, dass der Kläger nach dem Ende des Arbeitsverhältnisses nicht um Leistungen der Arbeitslosenversicherung ersucht und auch keine neue Arbeitsstelle gesucht habe, mithin während Monaten über keinerlei eigene Einkünfte verfügt habe, deute darauf hin, dass er krankheitsbedingt nicht mehr imstande war, Vorkehrungen zu treffen, um wieder zu einem Erwerbs- oder zumindest zu einem Ersatzeinkommen zu gelangen. Die Vorinstanz gelangte zum Schluss, aufgrund der Natur der diagnostizierten Störung, der aktenkundigen medizinischen Beurteilungen und der geschilderten tatsächlichen Gegebenheiten im Zeitpunkt der Kündigung bis zur Klinikeinweisung im September 2005, könne die Eröffnung der Wartezeit per 1. März 2005 nicht als zweifellos unrichtig im wiedererwägungsrechtlichen Sinne bezeichnet werden. Die Leistungseinstellung per 30. September 2009 entbehre demnach einer rechtlichen Grundlage.</w:t>
      </w:r>
    </w:p>
    <w:p>
      <w:r>
        <w:rPr>
          <w:b/>
        </w:rPr>
        <w:t>E. 4.1</w:t>
      </w:r>
    </w:p>
    <w:p>
      <w:r>
        <w:t>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Die auf der Würdigung der konkreten Umstände beruhende Feststellung des Zeitpunktes des Eintritts der Arbeitsunfähigkeit, deren Ursache zur Invalidität geführt hat, ist tatsächlicher Natur und somit letztinstanzlich nur im gesetzlichen Rahmen von Art. 105 Abs. 2 BGG der Ergänzung oder Berichtigung zugänglich (E. 1). Auch die auf Grund einer konkreten Beweiswürdigung getroffene Feststellung des zeitlichen Konnexes ist Tatfrage.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w:t>
      </w:r>
    </w:p>
    <w:p>
      <w:r>
        <w:rPr>
          <w:b/>
        </w:rPr>
        <w:t>E. 4.2</w:t>
      </w:r>
    </w:p>
    <w:p>
      <w:r>
        <w:t>Nach der Rechtsprechung (vgl. Urteil 8C_41/2011 vom 17. Mai 2011 E. 2.2 mit Hinweisen) ist unter relevanter Arbeitsunfähigkeit (E. 2) eine Einbusse an funktionellem Leistungsvermögen im bisherigen Beruf oder Aufgabenbereich zu verstehen. Das heisst, es muss arbeitsrechtlich in Erscheinung treten, dass der Versicherte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w:t>
      </w:r>
    </w:p>
    <w:p>
      <w:r>
        <w:rPr>
          <w:b/>
        </w:rPr>
        <w:t>E. 4.3</w:t>
      </w:r>
    </w:p>
    <w:p>
      <w:r>
        <w:t>Die Vorinstanz hat die eben genannten Grundsätze korrekt umgesetzt: Denn wenn nach der Rechtsprechung (E. 4.2) die Leistungseinbusse in aller Regel dem seinerzeitigen Arbeitgeber aufgefallen sein muss, bleiben Ausnahmefälle vorbehalten. Wie die Vorinstanz keinesfalls ermessensmissbräuchlich und ohne zu einem unhaltbaren Resultat zu gelangen sinngemäss erwogen hat, rechtfertigt es sich hier in Anbetracht der Art des Leidens (Schizophrenie) und der nach der Aktenlage erfassbaren Auswirkungen auf die versicherte Beschäftigung, von einem solchen Ausnahmefall auszugehen. Eine Eröffnung der Wartezeit am 1. März 2005 aufgrund einer mindestens 20%igen Arbeitsunfähigkeit in der bisherigen Tätigkeit kann unter den konkret gegebenen Umständen weder bindungs- noch kognitionsrechtlich als offensichtlich unrichtig bzw. unhaltbar bezeichnet werden.</w:t>
      </w:r>
    </w:p>
    <w:p>
      <w:r>
        <w:rPr>
          <w:b/>
        </w:rPr>
        <w:t>E. 5</w:t>
      </w:r>
    </w:p>
    <w:p>
      <w:r>
        <w:t>Die Beschwerde wird im Verfahren nach Art. 109 Abs. 2 lit. a und Abs. 3 BGG erledigt.</w:t>
      </w:r>
    </w:p>
    <w:p>
      <w:r>
        <w:rPr>
          <w:b/>
        </w:rPr>
        <w:t>E. 6</w:t>
      </w:r>
    </w:p>
    <w:p>
      <w:r>
        <w:t>Dem Ausgang des Verfahrens entsprechend sind die Gerichtskosten der Beschwerdeführerin aufzuerlegen ( Art. 66 Abs. 1 BGG ).</w:t>
      </w:r>
    </w:p>
    <w:p>
      <w:r>
        <w:rPr>
          <w:b/>
        </w:rPr>
        <w:t>E. 7</w:t>
      </w:r>
    </w:p>
    <w:p>
      <w:r>
        <w:t>Mit dem Urteil wird der Antrag auf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