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108/2011 vom 24. Oktober 2011</w:t>
      </w:r>
    </w:p>
    <w:p>
      <w:r>
        <w:t>Bundesgericht, 2011-10-24, FR</w:t>
      </w:r>
    </w:p>
    <w:p>
      <w:r>
        <w:rPr>
          <w:b/>
        </w:rPr>
        <w:t xml:space="preserve">Quelle: </w:t>
      </w:r>
      <w:r>
        <w:t>https://mcp.opencaselaw.ch/entscheid/bger_9C_108_2011</w:t>
      </w:r>
    </w:p>
    <w:p>
      <w:r>
        <w:t>FR: TF 9C 108/2011 du 24 octobre 2011</w:t>
      </w:r>
    </w:p>
    <w:p>
      <w:r>
        <w:t>IT: TF 9C 108/2011 del 24 ottobre 2011</w:t>
      </w:r>
    </w:p>
    <w:p>
      <w:pPr>
        <w:pStyle w:val="Heading2"/>
      </w:pPr>
      <w:r>
        <w:t>Regeste</w:t>
      </w:r>
    </w:p>
    <w:p>
      <w:r>
        <w:t>Assurance-invalidité | Assurance-invalidité</w:t>
      </w:r>
    </w:p>
    <w:p>
      <w:pPr>
        <w:pStyle w:val="Heading2"/>
      </w:pPr>
      <w:r>
        <w:t>Erwägungen</w:t>
      </w:r>
    </w:p>
    <w:p>
      <w:r>
        <w:rPr>
          <w:b/>
        </w:rPr>
        <w:t>E. 1.1</w:t>
      </w:r>
    </w:p>
    <w:p>
      <w:r>
        <w:t>Le jugement entrepris (consid. 5d, page 7) établit que la recourante présente un degré d'invalidité de 46 % et qu'elle a droit à un quart de rente. Il s'agit là d'une décision finale selon l' art. 90 LTF .</w:t>
      </w:r>
    </w:p>
    <w:p>
      <w:r>
        <w:rPr>
          <w:b/>
        </w:rPr>
        <w:t>E. 1.2</w:t>
      </w:r>
    </w:p>
    <w:p>
      <w:r>
        <w:t>Selon l' art. 42 al. 1 et 2 LTF , le recours doit indiquer, entre autres exigences, les conclusions, les motifs et les moyens de preuve, en exposant succinctement en quoi l'acte attaqué est contraire au droit.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l'autorité cantonale ( ATF 134 II 244 consid. 2.1 p. 245 s., 134 V 53 consid. 3.3 p. 60).</w:t>
      </w:r>
    </w:p>
    <w:p>
      <w:r>
        <w:rPr>
          <w:b/>
        </w:rPr>
        <w:t>E. 1.3</w:t>
      </w:r>
    </w:p>
    <w:p>
      <w:r>
        <w:t>Aucun fait nouveau ni preuve nouvelle ne peut être présenté à moins de résulter de la décision de l'autorité précédente ( art. 99 al. 1 LTF ). La recourante produit copie d'un document du 16 novembre 2010 de l'Hôpital Y.________. Au regard de l' art. 99 al. 1 LTF , ce moyen n'est pas admissible, le jugement entrepris ne justifiant pas pour la première fois de le soulever et la recourante ne montrant pas en quoi les conditions d'une exception à l'interdiction des faits ou moyens de preuve nouveaux selon cette disposition légale sont remplies ( ATF 136 III 261 consid. 4.1 p. 266, 133 III 393 consid. 3 p. 395; MEYER in: M.A. Niggli/P. Ubersax/H. Wiprächtiger [édit.], Bundesgerichtsgesetz, Bâle 2008, ad art. 99 LTF , n. 43 p. 979).</w:t>
      </w:r>
    </w:p>
    <w:p>
      <w:r>
        <w:rPr>
          <w:b/>
        </w:rPr>
        <w:t>E. 2.1</w:t>
      </w:r>
    </w:p>
    <w:p>
      <w:r>
        <w:t>Le litige porte sur le droit de la recourante à une rente d'invalidité supérieure à un quart de rente, singulièrement sur les limitations fonctionnelles qu'elle présente et la capacité de travail exigible dans une activité qui leur est adaptée et sur le taux d'invalidité fondant le droit à la prestation. La décision administrative litigieuse étant datée du 10 septembre 2009, l'examen judiciaire au plan temporel est limité à cette date.</w:t>
      </w:r>
    </w:p>
    <w:p>
      <w:r>
        <w:rPr>
          <w:b/>
        </w:rPr>
        <w:t>E. 2.2</w:t>
      </w:r>
    </w:p>
    <w:p>
      <w:r>
        <w:t>Les règles et principes jurisprudentiels sur la valeur probante d'un rapport médical ( ATF 134 V 231 consid. 5.1 p. 232, 125 V 351 consid. 3a p. 352) sont exposés correctement dans le jugement entrepris, auquel on peut ainsi renvoyer. Ainsi que l'a relevé la juridiction cantonale,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w:t>
      </w:r>
    </w:p>
    <w:p>
      <w:r>
        <w:rPr>
          <w:b/>
        </w:rPr>
        <w:t>E. 3</w:t>
      </w:r>
    </w:p>
    <w:p>
      <w:r>
        <w:t>La juridiction cantonale, faisant siennes les conclusions des médecins du SMR dans leur avis du 9 mars 2009, a retenu que la capacité de travail de la recourante était entière dans une activité adaptée aux limitations fonctionnelles. Avec ces médecins, elle a admis que les limitations fonctionnelles requises par la pathologie ostéoarticulaire comportaient sur le plan rachidien la nécessité d'alterner les positions assise et debout deux fois par heure, d'éviter de soulever régulièrement des charges de plus de 5 kg ainsi que de porter des charges de plus de 12 kg, d'éviter de travailler en porte-à-faux statique du rachis de manière prolongée et d'être exposée à des vibrations, et en ce qui concerne les membres inférieurs la contre-indication de la marche en terrain irrégulier, de la génuflexion, du franchissement d'obstacle, d'escabeau ou d'échelle, du franchissement régulier d'escaliers, de la marche supérieure à 5 minutes et des positions prolongées de plus de 10 minutes.</w:t>
      </w:r>
    </w:p>
    <w:p>
      <w:r>
        <w:rPr>
          <w:b/>
        </w:rPr>
        <w:t>E. 3.1</w:t>
      </w:r>
    </w:p>
    <w:p>
      <w:r>
        <w:t>Dans la mesure où la recourante s'en prend à la manière dont l'office AI a pris en compte les limitations fonctionnelles, elle reprend presque mot pour mot devant le Tribunal fédéral la même motivation que celle présentée devant l'autorité inférieure, ce qui est inadmissible sous l'angle de l' art. 42 al. 2 LTF ( ATF 134 II 244 consid. 2.1 - 2.3 p. 245 s.; FLORENCE AUBRY GIRARDIN, in: Commentaire de la LTF, Berne 2009, n° 30 ad art. 42 LTF ). L'autorité précédente, se fondant sur l'avis des médecins du SMR du 9 mars 2009, a retenu parmi les limitations fonctionnelles relatives aux membres inférieurs la contre-indication de la marche supérieure à 5 minutes et des positions prolongées de plus de 10 minutes, en relevant que ces deux limitations n'étaient pas énumérées par l'office AI dans la décision sur opposition du 10 septembre 2009, ce qui n'est pas remis en cause devant la Cour de céans.</w:t>
      </w:r>
    </w:p>
    <w:p>
      <w:r>
        <w:rPr>
          <w:b/>
        </w:rPr>
        <w:t>E. 3.2</w:t>
      </w:r>
    </w:p>
    <w:p>
      <w:r>
        <w:t>La recourante fait valoir qu'il est nécessaire de définir de manière plus précise l'activité adaptée qui offre la possibilité de ne pas rester assise plus de 10 minutes, de ne pas rester en position debout prolongée plus de 10 minutes et de ne pas marcher plus de 5 minutes, et que cela justifiait la mise en oeuvre d'une expertise médicale. Toutefois, la recourante n'explique pas en quoi la juridiction cantonale aurait enfreint le droit fédéral en ne se prononçant pas sur la mise en oeuvre d'une expertise indépendante. Contrairement à ce qu'elle laisse entendre, elle ne se trouve pas dans la situation de l'arrêt ATF 135 V 465 consid. 4.6 p. 471. L'autorité précédente a relevé que dans son rapport du 3 octobre 2008, le docteur H.________ avait indiqué comme adaptée au handicap de l'assurée notamment une activité impliquant une rotation en position assise ou debout, et que le fait qu'un assuré ne puisse pas exercer une activité en positions prolongées n'excluait pas toute capacité résiduelle de travail, ce que la recourante ne discute pas. Que ce soit le rapport du docteur M.________ du 27 décembre 2005 ou celui du docteur H.________ du 3 octobre 2008, aucun de ces documents ne laisse subsister de doutes, même faibles, quant à la fiabilité et à la pertinence des conclusions du docteur G.________ dans son rapport du 25 février 2009. Il convient de relever que dans ce rapport, le docteur G.________ a conclu à une capacité de travail exigible de 100 % dans une activité strictement adaptée aux limitations fonctionnelles requises par la pathologie ostéoarticulaire, en indiquant que l'assurée avait travaillé à son arrivée en Suisse pendant trois mois comme ouvrière dans l'horlogerie, qu'une telle activité était adaptée aux limitations fonctionnelles requises par la pathologie ostéoarticulaire et que la capacité de travail dans ce type d'activité était également complète. Les affirmations mentionnées ci-dessus de la recourante ne permettent pas de considérer que la juridiction cantonale, en retenant avec les médecins du SMR que la recourante présentait une capacité de travail entière dans une activité adaptée aux limitations fonctionnelles, ait établi les faits de façon manifestement inexacte ou en violation du droit.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