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107/2017 vom 8. September 2017</w:t>
      </w:r>
    </w:p>
    <w:p>
      <w:r>
        <w:t>Bundesgericht, 2017-09-08, FR</w:t>
      </w:r>
    </w:p>
    <w:p>
      <w:r>
        <w:rPr>
          <w:b/>
        </w:rPr>
        <w:t xml:space="preserve">Quelle: </w:t>
      </w:r>
      <w:r>
        <w:t>https://mcp.opencaselaw.ch/entscheid/bger_9C_107_2017</w:t>
      </w:r>
    </w:p>
    <w:p>
      <w:r>
        <w:t>FR: TF 9C 107/2017 du 8 septembre 2017</w:t>
      </w:r>
    </w:p>
    <w:p>
      <w:r>
        <w:t>IT: TF 9C 107/2017 del 8 settembre 2017</w:t>
      </w:r>
    </w:p>
    <w:p>
      <w:pPr>
        <w:pStyle w:val="Heading2"/>
      </w:pPr>
      <w:r>
        <w:t>Regeste</w:t>
      </w:r>
    </w:p>
    <w:p>
      <w:r>
        <w:t>Assurance-invalidité | Assurance-invalidité</w:t>
      </w:r>
    </w:p>
    <w:p>
      <w:pPr>
        <w:pStyle w:val="Heading2"/>
      </w:pPr>
      <w:r>
        <w:t>Erwägungen</w:t>
      </w:r>
    </w:p>
    <w:p>
      <w:r>
        <w:rPr>
          <w:b/>
        </w:rPr>
        <w:t>E. 1</w:t>
      </w:r>
    </w:p>
    <w:p>
      <w:r>
        <w:t>L'écriture du 14 mars 2017 et son annexe du même jour ont été déposées après le délai de recours, lequel est parvenu à échéance le 1 er février 2017. Ces pièces, de même que les arguments qu'elles contiennent, sont ainsi irrecevables ( art. 48 al. 1 LTF ).</w:t>
      </w:r>
    </w:p>
    <w:p>
      <w:r>
        <w:rPr>
          <w:b/>
        </w:rPr>
        <w:t>E. 2</w:t>
      </w:r>
    </w:p>
    <w:p>
      <w:r>
        <w:t>Le litige porte sur la suppression de la rente entière d'invalidité qui avait été allouée au recourant par décision du 3 août 2004, cela avec effet rétroactif au 1er juin 2006.</w:t>
      </w:r>
    </w:p>
    <w:p>
      <w:r>
        <w:rPr>
          <w:b/>
        </w:rPr>
        <w:t>E. 3</w:t>
      </w:r>
    </w:p>
    <w:p>
      <w:r>
        <w:t>Les premiers juges ont exposé correctement les règles applicables, si bien qu'il suffit de renvoyer au jugement attaqué. En bref, la juridiction cantonale a considéré que le recourant était capable de travailler à plein temps lors de la décision de rente initiale. En effet, le recourant était actif au sein de son entreprise qu'il gérait en qualité d'associé président, fournissant des conseil pratiques et financiers à son épouse. Pour les juges cantonaux, l'incapacité de gain du recourant ne pouvait en aucun cas atteindre 80 %. S'il n'avait pas enfreint son obligation d'informer, l'intimé ne lui aurait pas alloué une rente entière d'invalidité fondée sur ce taux de 80 %, de sorte que la décision du 3 août 2004 était sans doute inexacte, ce qui justifiait de confirmer la décision administrative litigieuse de révision en son résultat. Par ailleurs, comme le degré d'invalidité n'avait pas évolué entre-temps, aucune autre rente ne pouvait être accordée. La suppression de la rente devait intervenir avec effet ex tunc, en présence d'un cas de violation de l'obligation de renseigner ( art. 77 et 88bis al. 2 let. b RAI ).</w:t>
      </w:r>
    </w:p>
    <w:p>
      <w:r>
        <w:rPr>
          <w:b/>
        </w:rPr>
        <w:t>E. 4</w:t>
      </w:r>
    </w:p>
    <w:p>
      <w:r>
        <w:t>Le recourant allègue qu'il intervenait ponctuellement et bénévolement dans la société F.________ SA (recte: F.________ Sàrl) moins de 20 heures par mois, à un taux d'activité inférieur à 12,5 % pour aider son épouse qui y travaille. Il en déduit qu'il n'avait aucun intérêt à dissimuler des faits mineurs, puisque l'activité ne lui procurait aucun avantage financier personnel. Pour le recourant, la décision attaquée n'est pas conforme à l' art. 17 LPGA , car les révisions de la rente intervenues en 2006 et 2011 reposaient sur des examens matériels du droit à cette prestation. Comme elles constituaient chacune un point de départ temporel pour l'examen d'une modification du degré d'invalidité, la situation existant en 2015 ne devait pas être comparée à celle qui prévalait en 2004, mais à celles qui existaient en 2006 et 2011, cela à la lumière des rapports du docteur D.________ (des 24 juin 2006 et 30 août 2011). Par ailleurs, le recourant conteste la valeur probante du rapport des docteurs H.________ et I.________ du 23 juillet 2015. A son avis, l'expertise psychiatrique de la doctoresse I.________ n'est pas conforme aux standards développés par la jurisprudence, car le ton et les qualificatifs employés trahissent un a priori défavorable de sa part. Il lui reproche notamment d'avoir "démonté" l'un après l'autre les arguments et symptômes retenus jadis par la doctoresse B.________ et de s'être contentée d'y opposer sa propre perception subjective sans expliquer les éléments médicaux sur lesquels elle a fondé son jugement. Enfin, le recourant soutient que le principe de la bonne foi n'a pas été respecté, alléguant qu'il aurait fait d'autres choix de vie s'il n'avait pas bénéficié de la rente. La suppression de cette prestation lui paraît de surcroît disproportionnée, car elle se fonde sur un avis médical unique, de surcroît court, qu'elle intervient après 12 ans d'incapacité de travail et en plus à l'approche de l'âge de la retraite.</w:t>
      </w:r>
    </w:p>
    <w:p>
      <w:r>
        <w:rPr>
          <w:b/>
        </w:rPr>
        <w:t>E. 5.1</w:t>
      </w:r>
    </w:p>
    <w:p>
      <w:r>
        <w:t>Quoi qu'en dise le recourant, il ne lui appartenait pas de choisir les activités lucratives qu'il devait annoncer aux organes de l'AI. En effet, l'obligation de communiquer les activités exercées n'était pas limitée à l'époque de la demande de prestations (ch. 6.3 de la demande du 25 mai 2001), mais perdurait en tout temps (cf. art. 31 al. 1 LPGA et 77 RAI). L'obligation d'annoncer immédiatement toute modification de la situation susceptible d'entraîner la suppression, une diminution ou une augmentation de prestation allouée, singulièrement une modification du revenu de l'activité lucrative, de la capacité de travail ou de l'état de santé lorsque l'assuré est au bénéfice d'une rente AI, figurait d'ailleurs en toutes lettres dans la décision du 3 août 2004. En outre, les questionnaires pour la révision de la rente comportaient également une question relative à l'exercice d'une activité lucrative accessoire (ch. 2.5). Dès lors que le recourant a exercé une activité tout en percevant une rente entière d'invalidité, il reste à déterminer si les travaux accomplis (voir les indications du recourant figurant dans le rapport d'enquête du 10 mars 2015) étaient ou non médicalement exigibles (par ex. arrêt 9C_444/2014 du 17 novembre 2014 consid. 3.1). A ce sujet, il est sans incidence pour le sort du litige que l'activité en cause ait été bénévole, ainsi que le recourant le soutient. Pour instruire la question de l'exigibilité (cf. art. 43 LPGA ),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 ATF 125 V 256 consid. 4 p. 261).</w:t>
      </w:r>
    </w:p>
    <w:p>
      <w:r>
        <w:rPr>
          <w:b/>
        </w:rPr>
        <w:t>E. 5.2</w:t>
      </w:r>
    </w:p>
    <w:p>
      <w:r>
        <w:t>La rente d'invalidité avait été allouée uniquement en raison d'affections psychiques (cf. avis psychiatrique des docteurs B.________ et C.________, du 2 avril 2004). Dans le cadre de la première révision de la rente, le docteur D.________ avait relevé l'absence de problème majeur d'ordre psychique et signalé un meilleur moral (cf. rapport du 24 juin 2006); lors de la deuxième révision, il avait indiqué que les troubles psychiques ne nécessitaient pas de prise en charge psychiatrique (cf. rapport du 30 août 2011). De son côté, le docteur E.________ n'a pas diagnostiqué d'affection psychique (rapport du 16 juillet 2014). Par l'exercice d'une activité, le recourant a ainsi démontré que l'appréciation des docteurs B.________ et C.________ du 2 avril 2004) était erronée ou à tout le moins dépourvue d'actualité en juin 2006 lorsque le docteur D.________ avait rendu son premier rapport du 24 juin 2006. Quant aux affections somatiques susceptibles d'entraîner une éventuelle incapacité de travail, en particulier l'apnée du sommeil et les problèmes rachidiens, elles ont également été prises en considération par les docteurs H.________ et I.________ (cf. rapport du 23 juillet 2015) qui ont exclu leur caractère invalidant. Les critiques que le recourant adresse au rapport de ces médecins ne sont pas objectivées et portent essentiellement sur le ton du rapport qui ne lui convient pas. Dépourvus de substance, ses griefs ne permettent pas de remettre en cause ni la force probante de ce rapport qui en remplit les réquisits jurisprudentiels (cf. ATF 125 V 351 consid. 3a p. 352), ni les constatations de fait de l'autorité précédente ( art. 97 al. 1 LTF ). En procédure fédérale, il incombait pourtant au recourant d'exposer en quoi l'appréciation et l'administration des preuves à laquelle la juridiction cantonale a procédé résulteraient d'une violation du droit fédéral ( art. 61 let . c LPGA, art. 95 let. a LTF ), singulièrement d'établir que les constatations de faits (portant sur l'état de santé et la capacité de travail) étaient manifestement inexactes ( art. 97 al. 1 LTF ). Il n'y est pas parvenu.</w:t>
      </w:r>
    </w:p>
    <w:p>
      <w:r>
        <w:rPr>
          <w:b/>
        </w:rPr>
        <w:t>E. 5.3</w:t>
      </w:r>
    </w:p>
    <w:p>
      <w:r>
        <w:t>Dans le cas d'espèce, il importe peu que les révisions de la rente aient ou non donné lieu à un examen matériel du droit à cette prestation, ainsi que le recourant le soutient. Seul est décisif le fait qu'au plus tard en juin 2006, le recourant avait recouvré une capacité de travail en raison de l'amélioration de son état de santé psychique, ainsi que cela ressort des constatations médicales effectuées à cette époque (cf. rapport du docteur D.________ du 24 juin 2006), et mis à profit la capacité de gain qui en découlait. En effet, le recourant a déployé une activité en sa qualité d'associé gérant président de la société F.________ Sàrl et prodigué une aide à son épouse dans le cadre de la gestion de l'entreprise G.________. Il avait démontré qu'il était ainsi en mesure d'accomplir des tâches tout à fait compatibles avec les conclusions du rapport du 23 juillet 2015, cela à l'époque où la rente initiale lui avait été accordée. Cela aurait dû aboutir à la suppression de la rente en 2006, ce qui n'a pas été fait. En raison de la violation par le recourant de son obligation d'annoncer (cf. art. 31 al. 1 LPGA et 77 RAI), le moment auquel la suppression de la rente prend effet est régi par l'art. 88 bis al. 2 let. b RAI. Les griefs tirés de la violation des principes de la bonne foi et de la proportionnalité étant pour le surplus dénués de toute pertinence, le recours se révèle infondé.</w:t>
      </w:r>
    </w:p>
    <w:p>
      <w:r>
        <w:rPr>
          <w:b/>
        </w:rPr>
        <w:t>E. 6</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