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9C_106/2018 vom 17. Dezember 2018</w:t>
      </w:r>
    </w:p>
    <w:p>
      <w:r>
        <w:t>Bundesgericht, 2018-12-17, FR</w:t>
      </w:r>
    </w:p>
    <w:p>
      <w:r>
        <w:rPr>
          <w:b/>
        </w:rPr>
        <w:t xml:space="preserve">Quelle: </w:t>
      </w:r>
      <w:r>
        <w:t>https://mcp.opencaselaw.ch/entscheid/bger_9C_106_2018</w:t>
      </w:r>
    </w:p>
    <w:p>
      <w:r>
        <w:t>FR: TF 9C_106/2018 du 17 décembre 2018</w:t>
      </w:r>
    </w:p>
    <w:p>
      <w:r>
        <w:t>IT: TF 9C_106/2018 del 17 dicembre 2018</w:t>
      </w:r>
    </w:p>
    <w:p>
      <w:pPr>
        <w:pStyle w:val="Heading2"/>
      </w:pPr>
      <w:r>
        <w:t>Erwägungen</w:t>
      </w:r>
    </w:p>
    <w:p>
      <w:r>
        <w:rPr>
          <w:b/>
        </w:rPr>
        <w:t>E. 1</w:t>
      </w:r>
    </w:p>
    <w:p>
      <w:r>
        <w:t>Le litige porte uniquement sur la modification, à teneur du jugement attaqué du 18 décembre 2017 (S3 17 115), de la répartition des frais et dépens qui avait été décidée dans le jugement de renvoi du 29 novembre 2013 (S1 12 238).</w:t>
      </w:r>
    </w:p>
    <w:p>
      <w:r>
        <w:t>Le jugement du 18 décembre 2017 (S1 16 83), par lequel le tribunal cantonal a admis le recours de l'assuré, en ce sens qu'il a reconnu son droit à une allocation pour impotent de degré moyen à partir du 1er janvier 2007, n'a pas été contesté. Il constitue une décision finale.</w:t>
      </w:r>
    </w:p>
    <w:p>
      <w:r>
        <w:rPr>
          <w:b/>
        </w:rPr>
        <w:t>E. 2</w:t>
      </w:r>
    </w:p>
    <w:p>
      <w:r>
        <w:t>L'office recourant fait grief à la juridiction cantonale d'avoir procédé d'office à la modification de la répartition des frais et dépens fixée dans le jugement du 29 novembre 2013. Il se prévaut de l'absence de base légale autorisant pareille modification. Conformément à la jurisprudence (cf. ATF 142 II 363 ), il aurait incombé à l'assuré intimé de contester les frais et dépens du jugement du 29 novembre 2013, cela dans le délai de trente jours ( art. 100 LTF ) qui avait commencé à courir depuis la date de la notification du jugement du 18 décembre 2017 rendu dans la cause S1 16 83.</w:t>
      </w:r>
    </w:p>
    <w:p>
      <w:r>
        <w:t>De son côté, l'intimé est d'avis, notamment, que la jurisprudence ( ATF 142 II 363 ) ne permet pas de nier la compétence de l'autorité inférieure pour revenir (d'office) sur sa précédente décision relative aux frais et dépens.</w:t>
      </w:r>
    </w:p>
    <w:p>
      <w:r>
        <w:t>Cette question peut toutefois rester indécise, car le recours doit être admis pour le motif qui suit.</w:t>
      </w:r>
    </w:p>
    <w:p>
      <w:r>
        <w:rPr>
          <w:b/>
        </w:rPr>
        <w:t>E. 3.1</w:t>
      </w:r>
    </w:p>
    <w:p>
      <w:r>
        <w:t>Le Tribunal fédéral examine d'office les conditions formelles de validité et de régularité de la procédure de première instance ( ATF 135 V 124 consid. 3.1 p. 127; 132 V 93 consid. 1.2 p. 95 et les références; cf. aussi ULRICH MEYER/JOHANNA DORMANN in Basler Kommentar zum Bundesgerichtsgesetz, 3ème éd. 2018, n° 8 ad art. 106), parmi lesquelles figure la composition - régulière ou pas - du tribunal qui a statué ( ATF 129 V 335 consid. 1.2 p. 337).</w:t>
      </w:r>
    </w:p>
    <w:p>
      <w:r>
        <w:t>Le Tribunal fédéral a admis de façon constante que la composition irrégulière d'une autorité de recours constitue une cause d'annulabilité du jugement qui a été rendu ( ATF 144 IV 35 consid. 2.1 p. 39 et les références). C'est à la lumière des règles cantonales applicables à l'organisation et à la procédure qu'il examine, sous l'angle restreint de l'arbitraire, si une autorité judiciaire a statué dans une composition conforme à la loi ( ATF 131 I 31 consid. 2.1.2.1 p. 34 et les références).</w:t>
      </w:r>
    </w:p>
    <w:p>
      <w:r>
        <w:rPr>
          <w:b/>
        </w:rPr>
        <w:t>E. 3.2</w:t>
      </w:r>
    </w:p>
    <w:p>
      <w:r>
        <w:t>En l'occurrence, le jugement du 29 novembre 2013 (S1 12 238) ainsi que le premier jugement du 18 décembre 2017 (S1 16 83) émanent de la Cour des assurances sociales du Tribunal cantonal qui a statué dans une composition à trois juges. En revanche, le second jugement du 18 décembre 2017 (S3 17 115), qui est seul attaqué, a été rendu par la Présidente de la Cour en qualité de juge unique.</w:t>
      </w:r>
    </w:p>
    <w:p>
      <w:r>
        <w:t>Il n'existe pas de norme cantonale prévoyant une délégation à un juge unique dans un cas semblable (cf. art. 65 al. 3 de la loi valaisanne sur la procédure et la juridiction administratives [RS VS 172.6; LPJA]), de sorte que le consid. 2.8 du premier jugement (S1 16 83) ne constitue pas une délégation conforme à la loi. La composition de l'autorité judiciaire qui a statué dans la cause S3 17 115 était donc irrégulière, puisque la Présidente de la Cour n'était pas autorisée à revenir seule sur une précédente décision émanant d'un collège. La violation de la garantie constitutionnelle de l' art. 30 al. 1 Cst. entraîne l'annulation du second jugement prononcé par le juge unique (S3 17 115).</w:t>
      </w:r>
    </w:p>
    <w:p>
      <w:r>
        <w:rPr>
          <w:b/>
        </w:rPr>
        <w:t>E. 3.3</w:t>
      </w:r>
    </w:p>
    <w:p>
      <w:r>
        <w:t>En principe, la cause devrait être renvoyée à l'autorité cantonale afin qu'elle statue à nouveau dans une composition correcte (voir par ex. arrêt 9C_585/2014 du 8 septembre 2015 consid. 4.3). Toutefois, il y a lieu de prendre en considération le fait que le Tribunal cantonal du Valais a déjà statué dans une composition conforme à la loi sur la répartition des frais et dépens, décidée initialement dans le jugement de renvoi du 29 novembre 2013. En effet, au consid. 2.8 du jugement non attaqué du 18 décembre 2017 (S1 16 83), il a modifié la répartition des frais précédemment fixée le 29 novembre 2013 et a accordé à l'assuré intimé des dépens réduits de moitié à la charge de l'office recourant. Le fait qu'au lieu d'agir par une décision présidentielle séparée, le tribunal aurait dû indiquer cette nouvelle répartition dans le dispositif de son jugement S1 16 83, est une incohérence que les parties auraient éventuellement pu soulever par la voie de l'interprétation ou de la rectification (art. 64 LPJA), ce qu'elles n'ont pas fait.</w:t>
      </w:r>
    </w:p>
    <w:p>
      <w:r>
        <w:rPr>
          <w:b/>
        </w:rPr>
        <w:t>E. 4</w:t>
      </w:r>
    </w:p>
    <w:p>
      <w:r>
        <w:t>Compte tenu de l'issue du procès, la requête d'effet suspensif n'a plus d'objet.</w:t>
      </w:r>
    </w:p>
    <w:p>
      <w:r>
        <w:rPr>
          <w:b/>
        </w:rPr>
        <w:t>E. 5</w:t>
      </w:r>
    </w:p>
    <w:p>
      <w:r>
        <w:t>Eu égard aux circonstances particulières du cas d'espèce, il sied de renoncer à percevoir des frais pour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