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9C_1066/2009 vom 22. September 2010</w:t>
      </w:r>
    </w:p>
    <w:p>
      <w:r>
        <w:t>Bundesgericht, 2010-09-22, FR</w:t>
      </w:r>
    </w:p>
    <w:p>
      <w:r>
        <w:rPr>
          <w:b/>
        </w:rPr>
        <w:t xml:space="preserve">Quelle: </w:t>
      </w:r>
      <w:r>
        <w:t>https://mcp.opencaselaw.ch/entscheid/bger_9C_1066_2009</w:t>
      </w:r>
    </w:p>
    <w:p>
      <w:r>
        <w:t>FR: TF 9C_1066/2009 du 22 septembre 2010</w:t>
      </w:r>
    </w:p>
    <w:p>
      <w:r>
        <w:t>IT: TF 9C_1066/2009 del 22 settembre 2010</w:t>
      </w:r>
    </w:p>
    <w:p>
      <w:pPr>
        <w:pStyle w:val="Heading2"/>
      </w:pPr>
      <w:r>
        <w:t>Erwägungen</w:t>
      </w:r>
    </w:p>
    <w:p>
      <w:r>
        <w:rPr>
          <w:b/>
        </w:rPr>
        <w:t>E. 1</w:t>
      </w:r>
    </w:p>
    <w:p>
      <w:r>
        <w:t>Le recours en matière de droit public ( art. 82 ss LTF ) peut être formé pour violation du droit selon l'art. 95 sv. LTF.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t>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2</w:t>
      </w:r>
    </w:p>
    <w:p>
      <w:r>
        <w:t>Faisant siennes les conclusions du docteur R.________, la juridiction cantonale a constaté qu'en raison des atteintes à la santé de la recourante, les limitations fonctionnelles suivantes devaient être respectées:</w:t>
      </w:r>
    </w:p>
    <w:p>
      <w:r>
        <w:t>- absence de port de charges de plus de 5 kg de façon répétitive,</w:t>
      </w:r>
    </w:p>
    <w:p>
      <w:r>
        <w:t>- absence de position statique assise au-delà de 30 minutes sans possibilité de varier les positions assise et debout, au moins deux fois par heure, de préférence à la guise de l'assurée,</w:t>
      </w:r>
    </w:p>
    <w:p>
      <w:r>
        <w:t>- absence de position en porte-à-faux ou en antéflexion du tronc contre résistance,</w:t>
      </w:r>
    </w:p>
    <w:p>
      <w:r>
        <w:t>- absence de montée ou descente d'escaliers à répétition,</w:t>
      </w:r>
    </w:p>
    <w:p>
      <w:r>
        <w:t>- absence d'activité sur terrain instable ou en hauteur,</w:t>
      </w:r>
    </w:p>
    <w:p>
      <w:r>
        <w:t>- absence de position en génuflexion ou accroupie,</w:t>
      </w:r>
    </w:p>
    <w:p>
      <w:r>
        <w:t>- absence d'activité nécessitant des élévations des membres supérieurs au-delà de 90° de façon répétitive et contre résistance,</w:t>
      </w:r>
    </w:p>
    <w:p>
      <w:r>
        <w:t>- possibilité de réaliser une pause toutes les deux heures pendant laquelle l'assurée peut s'allonger pendant 5 à 10 minutes.</w:t>
      </w:r>
    </w:p>
    <w:p>
      <w:r>
        <w:t>Au vu de ces limitations, la juridiction cantonale a retenu que la recourante disposait depuis le mois d'août 2005 (recte: mars 2006) d'une capacité de travail de 100 % dans une activité adaptée à ces restrictions, mais avec une diminution de rendement de 25 %. Les premiers juges sont partis du revenu sans invalidité retenu par l'office AI (58'133 fr.) et l'ont recalculé, obtenant un montant légèrement plus élevé de 58'176 fr.; ils ont fixé le revenu d'invalide à 32'052 fr., compte tenu d'un abattement de 15 %. Celui-ci était justifié par la présence de plusieurs facteurs susceptibles de limiter la mise en valeur de la capacité de travail: la recourante était âgée de 46 ans et n'avait suivi que l'école primaire, elle avait travaillé pendant 15 ans chez le même employeur et présentait de multiples limitations fonctionnelles. Il résultait de la comparaison de ces revenus un taux d'incapacité de gain de 44,91 %, lequel ouvrait droit à un quart de rente.</w:t>
      </w:r>
    </w:p>
    <w:p>
      <w:r>
        <w:rPr>
          <w:b/>
        </w:rPr>
        <w:t>E. 3</w:t>
      </w:r>
    </w:p>
    <w:p>
      <w:r>
        <w:t>Sans critiquer les constatations de fait d'ordre médical de l'autorité judiciaire de première instance, la recourante estime que ses limitations fonctionnelles ne lui permettent pas de prétendre à une activité exigible sur le marché du travail. Elle soutient en particulier qu'ajoutée aux autres limitations, la nécessité de faire des pauses toutes les deux heures pour s'allonger entre cinq et dix minutes rend illusoire toute possibilité de retrouver un travail.</w:t>
      </w:r>
    </w:p>
    <w:p>
      <w:r>
        <w:rPr>
          <w:b/>
        </w:rPr>
        <w:t>E. 4.1</w:t>
      </w:r>
    </w:p>
    <w:p>
      <w:r>
        <w:t>Lorsqu'il s'agit d'examiner dans quelle mesure un assuré peut encore exploiter économiquement sa capacité de gain résiduelle sur le marché du travail entrant en considération pour lui ( art. 16 LPGA ),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 art. 16 LPGA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du 30 avril 1991 consid. 3b, in RCC 1991 p. 329; I 329/88 du 25 janvier 1989 consid. 4a, in RCC 1989 p. 328).</w:t>
      </w:r>
    </w:p>
    <w:p>
      <w:r>
        <w:t>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rPr>
          <w:b/>
        </w:rPr>
        <w:t>E. 4.2</w:t>
      </w:r>
    </w:p>
    <w:p>
      <w:r>
        <w:t>Il n'est pas contesté en l'espèce que les lombosciatalgies présentées par la recourante ont pour conséquence un certain nombre de limitations fonctionnelles. Si les limitations décrites par le SMR peuvent de prime abord sembler importantes, elles représentent, pauses comprises, les mesures classiques d'épargne lombaire en vue d'éviter les douleurs provoquées par la pathologie susmentionnée. D'un point de vue médical, le SMR a considéré que la recourante était en mesure de reprendre l'exercice d'une activité lucrative, certes légère, à plein temps. Quoi qu'en dise la recourante, il convient d'admettre que le marché du travail offre un éventail suffisamment large d'activités légères, dont on doit convenir qu'un nombre significatif sont adaptées aux limitations de la recourante et accessibles sans aucune formation particulière. A cet égard, la recourante n'établit pas de manière convaincante en quoi des activités simples de manutention légère ou de contrôle, ne seraient pas exigibles au regard des limitations retenues. On rappellera au demeurant qu'il n'y a pas lieu, dans ce contexte, d'examiner dans quelle mesure la situation concrète du marché du travail permettrait à la recourante de retrouver un emploi. En ce qui concerne plus particulièrement la nécessité pour la recourante de réaliser une pause toutes les deux heures pendant laquelle elle peut s'allonger pendant 5 à 10 minutes, les premiers juges ont considéré que le SMR en avait tenu compte puisque le rendement exigible de la recourante avait en définitive été réduit de 25 %.</w:t>
      </w:r>
    </w:p>
    <w:p>
      <w:r>
        <w:rPr>
          <w:b/>
        </w:rPr>
        <w:t>E. 4.3</w:t>
      </w:r>
    </w:p>
    <w:p>
      <w:r>
        <w:t>La recourante critique par ailleurs le taux d'abattement retenu par la juridiction cantonale pour déterminer son revenu d'invalide. Elle soutient particulièrement qu'au vu de ses limitations fonctionnelles, elle pouvait prétendre à une réduction maximale de 25 %.</w:t>
      </w:r>
    </w:p>
    <w:p>
      <w:r>
        <w:t>Ainsi que l'ont correctement exposé les premiers juges, il y a lieu de faire une distinction entre la prise en compte des limitations fonctionnelles de l'assurée dans la détermination de sa capacité résiduelle de travail (cf. consid. 4.2 supra) et l'impact que peuvent avoir ces limitations fonctionnelles sur les perspectives salariales.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s.).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(cf. ATF 132 V 393 consid. 3.3 p. 399), notamment en retenant des critères inappropriés, en ne tenant pas compte de circonstances pertinentes, en ne procédant pas à un examen complet des circonstances pertinentes ou en n'usant pas de critères objectifs (cf. ATF 130 III 176 consid. 1.2 p. 180).</w:t>
      </w:r>
    </w:p>
    <w:p>
      <w:r>
        <w:t>En l'espèce, la recourante était loin de rassembler en sa personne l'ensemble des critères pouvant justifier un abattement maximal de 25 %. Par conséquent, en retenant un taux d'abattement de 15 % sur le revenu d'invalide pour tenir compte de l'impact des limitations fonctionnelles de la recourante sur ses perspectives salariales, les premiers juges n'ont pas abusé de leur pouvoir d'appréciation.</w:t>
      </w:r>
    </w:p>
    <w:p>
      <w:r>
        <w:t>Mal fondé, le recours doit être rejeté.</w:t>
      </w:r>
    </w:p>
    <w:p>
      <w:r>
        <w:rPr>
          <w:b/>
        </w:rPr>
        <w:t>E. 5</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