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105/2009 vom 19. August 2009</w:t>
      </w:r>
    </w:p>
    <w:p>
      <w:r>
        <w:t>Bundesgericht, 2009-08-19, FR</w:t>
      </w:r>
    </w:p>
    <w:p>
      <w:r>
        <w:rPr>
          <w:b/>
        </w:rPr>
        <w:t xml:space="preserve">Quelle: </w:t>
      </w:r>
      <w:r>
        <w:t>https://mcp.opencaselaw.ch/entscheid/bger_9C_105_2009</w:t>
      </w:r>
    </w:p>
    <w:p>
      <w:r>
        <w:t>FR: TF 9C 105/2009 du 19 août 2009</w:t>
      </w:r>
    </w:p>
    <w:p>
      <w:r>
        <w:t>IT: TF 9C 105/2009 del 19 agosto 2009</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 Tribunal administratif du canton de Berne a constaté que c'était à bon droit que l'office AI s'était rallié aux recommandations du SMR et avait écarté l'expertise réalisée par l'Hôpital Y.________. Malgré un contexte clinique influencé par la présence d'un trouble somatoforme douloureux, l'expert psychiatre consulté, le docteur B.________, n'avait pas motivé le diagnostic d'état dépressif sévère avec syndrome somatique ni l'incapacité de travail totale qu'il en avait inférée. Or, la jurisprudence exigeait une grande rigueur quant à la réalisation de la condition liée à l'existence d'une atteinte à la santé psychique à caractère invalidant, question que les constatations peu précises du docteur B.________ ne permettaient pas de trancher. De plus, plusieurs éléments faisaient douter de l'unité et de la concordance des diverses évaluations spécialisées menées auprès de l'Hôpital Y.________. Il y avait lieu d'abord de s'étonner que la dépression profonde évoquée par le docteur B.________ puisse être compatible avec le descriptif de la vie quotidienne du recourant, tel qu'il ressortait des observations cliniques dressées en début d'expertise. L'évaluation psychiatrique concordait difficilement avec le résultat de la consultation rhumatologique, laquelle niait l'existence d'une cause objective pour les douleurs ressenties par le recourant et laissait entrevoir certains comportements incohérents et démonstratifs; à aucun endroit de son analyse le docteur B.________ ne faisait en effet mention de cette attitude démonstrative. Les examens paracliniques n'avaient enfin pas permis de détecter la présence de deux des trois substances médicamenteuses prescrites au recourant, sans que l'Hôpital Y.________ juge utile de faire mention de cette absence de compliance.</w:t>
      </w:r>
    </w:p>
    <w:p>
      <w:r>
        <w:rPr>
          <w:b/>
        </w:rPr>
        <w:t>E. 2.2</w:t>
      </w:r>
    </w:p>
    <w:p>
      <w:r>
        <w:t>En revanche, l'expertise médicale du Centre V.________ répondait aux exigences posées par la jurisprudence relative à la valeur probante des documents médicaux. Tant sur la base des examens spécialisés et des données cliniques qui l'étayaient que de la discussion finale la concrétisant, l'évaluation de la capacité résiduelle de travail restante devait l'emporter sur celles divergentes des différents médecins consultés par le recourant, à savoir les docteurs P.________, F.________ et W.________. Le résultat final sur lequel débouchait l'évaluation pluridisciplinaire du Centre V.________ s'accordait mieux que les avis de ces médecins avec l'ensemble des observations cliniques ressortant du dossier. Ainsi, les phénomènes d'exagération perceptibles à la lecture de l'expertise de l'Hôpital Y.________ et évoqués jadis par le docteur F.________ avaient été expressément abordés et discutés par le Centre V.________, puis intégrés dans son évaluation diagnostique finale. Les motifs justifiant ce diagnostic étaient énumérés avec rigueur et précision. Il fallait tout d'abord mentionner les multiples discordances constatées par le Centre V.________ entre les plaintes émises par le patient et ses propres observations cliniques. S'y ajoutait la discordance entre le traitement médicamenteux prescrit et les dosages constatés lors des analyses de laboratoire. Le Centre V.________ pouvait enfin s'appuyer sur les constatations de la doctoresse I.________ confirmant la présence d'une tendance à l'amplification des symptômes.</w:t>
      </w:r>
    </w:p>
    <w:p>
      <w:r>
        <w:rPr>
          <w:b/>
        </w:rPr>
        <w:t>E. 3</w:t>
      </w:r>
    </w:p>
    <w:p>
      <w:r>
        <w:t>Le recourant reproche au Tribunal administratif d'avoir procédé à une constatation manifestement inexacte des faits pertinents consécutive à une mauvaise appréciation des preuves, en niant l'existence d'une aggravation de son état de santé. Il fait plus particulièrement grief à la juridiction cantonale de s'être fondée exclusivement sur l'expertise du Centre V.________ et de n'avoir pas tenu compte des avis médicaux des autres experts consultés. Il fustige également l'importance accordée par les premiers juges aux avis rendus par le SMR, lequel aurait privilégié unilatéralement les avis qui lui étaient défavorables. Il serait notamment inexact de considérer, comme l'ont fait les premiers juges, que l'expertise du Centre V.________ constituait une surexpertise après celles établies par l'Hôpital Y.________ et le SMR, les avis rendus par ce dernier ne pouvant raisonnablement constituer des expertises au sens de la jurisprudence. Dans la mesure où l'expertise du Centre V.________ n'était ni plus ni moins convaincante que celle effectuée par l'Hôpital Y.________, la situation imposait la réalisation d'une surexpertise afin de départager ces avis fondamentalement divergents. Au surplus, le recourant estime que les médecins du Centre V.________ auraient manqué d'indépendance et fait usage d'un avis préconçu à son égard.</w:t>
      </w:r>
    </w:p>
    <w:p>
      <w:r>
        <w:rPr>
          <w:b/>
        </w:rPr>
        <w:t>E. 4.1</w:t>
      </w:r>
    </w:p>
    <w:p>
      <w:r>
        <w:t>En l'espèce, le recourant n'explique pas en quoi l'appréciation des preuves à laquelle la juridiction cantonale a procédé serait manifestement insoutenable (cf. supra consid. 1), mais se borne pour l'essentiel à critiquer les avis rendus par le SMR au cours de la procédure. Au regard de la motivation du jugement attaqué, le recourant attache cependant une importance démesurée aux appréciations du SMR par rapport à celle que leur a véritablement attachée la juridiction cantonale. Les premiers juges se sont avant tout appliqués à comparer les expertises réalisées par l'Hôpital Y.________ et le Centre V.________ et à expliquer les raisons qui leur ont fait privilégier les conclusions de la seconde plutôt que celles de la première. A cet égard, on ne saurait leur reprocher d'avoir fait preuve d'arbitraire en écartant l'expertise de l'Hôpital Y.________, tant le volet psychiatrique de celle-ci se révèle sommaire - aussi bien sur le plan anamnestique, clinique et diagnostique qu'au niveau de la discussion générale - au regard de l'importance accordée par les experts aux troubles psychiques dans l'analyse globale de la situation.</w:t>
      </w:r>
    </w:p>
    <w:p>
      <w:r>
        <w:rPr>
          <w:b/>
        </w:rPr>
        <w:t>E. 4.2</w:t>
      </w:r>
    </w:p>
    <w:p>
      <w:r>
        <w:t>Dans ce contexte, il est évident que les rapports du SMR des 10 mars 2006 et 5 octobre 2007 ne constituent pas des expertises au sens de l' art. 44 LPGA . En fait, il s'agit de rapports au sens de l' art. 49 al. 3 RAI (dans sa teneur en vigueur jusqu'au 31 décembre 2007). Ces rapports ont pour fonction d'opérer la synthèse des renseignements médicaux versés au dossier et de prodiguer des recommandations quant à la suite à donner au dossier sur le plan médical. En tant qu'ils ne contiennent aucune observation clinique, ils se distinguent des expertises médicales ou des examens médicaux auxquels il arrive au SMR de procéder ( art. 49 al. 2 RAI dans sa teneur en vigueur jusqu'au 31 décembre 2007);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 ATF 125 V 351 consid. 3a p. 352), les autorités appelées à statuer ont en effet le devoir d'examiner objectivement tous les documents à disposition, quelle que soit leur provenance, puis de décider s'ils permettent de porter un jugement valable sur le droit litigieux (cf. arrêt I 143/07 du 14 septembre 2007 consid. 3.3). Dans le cas particulier, force est de constater que la juridiction cantonale n'a rien fait d'autre que d'apprécier librement et de manière circonstanciée l'ensemble des preuves médicales à sa disposition. On peut tout au plus déplorer que celle-ci ait, de façon malheureuse, qualifié le rapport d'expertise du Centre V.________ de surexpertise, ce qu'il n'était effectivement pas. Cette circonstance ne saurait toutefois suffire à remettre en cause le résultat de cette appréciation.</w:t>
      </w:r>
    </w:p>
    <w:p>
      <w:r>
        <w:rPr>
          <w:b/>
        </w:rPr>
        <w:t>E. 4.3</w:t>
      </w:r>
    </w:p>
    <w:p>
      <w:r>
        <w:t>Quant aux griefs formulés par le recourant relatifs à l'impartialité et à l'objectivité de l'expertise du Centre V.________, ils ne sont pas de nature à faire naître un doute sur le bien-fondé de ses conclusions. Les imprécisions relevées dans le rapport d'expertise ne portent nullement sur des éléments déterminants pour l'appréciation de la situation médicale. De même, les détails tirés de l'anamnèse, que le recourant juge subjectifs et sans pertinence, ne sont en réalité que de simples données objectives qui n'emportent aucune appréciation de valeur.</w:t>
      </w:r>
    </w:p>
    <w:p>
      <w:r>
        <w:rPr>
          <w:b/>
        </w:rPr>
        <w:t>E. 5</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