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1059/2009 vom 4. August 2010</w:t>
      </w:r>
    </w:p>
    <w:p>
      <w:r>
        <w:t>Bundesgericht, 2010-08-04, DE</w:t>
      </w:r>
    </w:p>
    <w:p>
      <w:r>
        <w:rPr>
          <w:b/>
        </w:rPr>
        <w:t xml:space="preserve">Quelle: </w:t>
      </w:r>
      <w:r>
        <w:t>https://mcp.opencaselaw.ch/entscheid/bger_9C_1059_2009</w:t>
      </w:r>
    </w:p>
    <w:p>
      <w:r>
        <w:t>FR: TF 9C 1059/2009 du 4 août 2010</w:t>
      </w:r>
    </w:p>
    <w:p>
      <w:r>
        <w:t>IT: TF 9C 1059/2009 del 4 agosto 2010</w:t>
      </w:r>
    </w:p>
    <w:p>
      <w:pPr>
        <w:pStyle w:val="Heading2"/>
      </w:pPr>
      <w:r>
        <w:t>Regeste</w:t>
      </w:r>
    </w:p>
    <w:p>
      <w:r>
        <w:t>Invalidenversicherung | Invalidenversicherung</w:t>
      </w:r>
    </w:p>
    <w:p>
      <w:pPr>
        <w:pStyle w:val="Heading2"/>
      </w:pPr>
      <w:r>
        <w:t>Erwägungen</w:t>
      </w:r>
    </w:p>
    <w:p>
      <w:r>
        <w:rPr>
          <w:b/>
        </w:rPr>
        <w:t>E. 1.1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w:t>
      </w:r>
    </w:p>
    <w:p>
      <w:r>
        <w:rPr>
          <w:b/>
        </w:rPr>
        <w:t>E. 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E. 2.1). Den diesen Anforderungen genügenden Berichten der regionalen ärztlichen Dienste (RAD; Art. 59 IVG und Art. 47 ff. IVV ) kommt ebenfalls Beweiswert zu (SVR 2009 IV Nr. 56, 9C_323/2009, E. 4.3.1).</w:t>
      </w:r>
    </w:p>
    <w:p>
      <w:r>
        <w:rPr>
          <w:b/>
        </w:rPr>
        <w:t>E. 2</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3 und 4 IVV ). Tritt die IV-Stelle auf eine Neuanmeldung ein, hat sie - und im Beschwerdefall das kantonale Versicherungsgericht oder das Bundesverwaltungsgericht - wie bei einer Revision nach Art. 17 Abs. 1 ATSG zu prüfen, ob sich die tatsächlichen Verhältnisse seit Erlass der letzten, auf einer materiellen Prüfung des Rentenanspruchs mit rechtskonformer Sachverhaltsabklärung, Beweiswürdigung und Ermittlung des Invaliditätsgrades beruhenden Verfügung verändert haben ( BGE 130 V 71 E. 3.2.3 S. 75 ff.; vgl. auch BGE 133 V 108 ). Ist das zu verneinen, weist sie das Gesuch mit dieser Begründung ab (Urteil des Eidg. Versicherungsgerichts I 96/06 vom 26. Mai 2006 E. 2); andernfalls hat sie zu prüfen, ob aufgrund der festgestellten Veränderung nunmehr eine anspruchsbegründende Invalidität besteht ( BGE 117 V 198 E. 3a S. 198; Urteil 9C_733/2007 vom 3. April 2008 E. 1). Dazu hat sie den Invaliditätsgrad auf der Grundlage eines richtig und vollständig festgestellten Sachverhalts und ohne Bindung an frühere Invaliditätsschätzungen neu zu ermitteln (vgl. Urteil 9C_215/2010 vom 20. April 2010 E. 1.1).</w:t>
      </w:r>
    </w:p>
    <w:p>
      <w:r>
        <w:rPr>
          <w:b/>
        </w:rPr>
        <w:t>E. 3</w:t>
      </w:r>
    </w:p>
    <w:p>
      <w:r>
        <w:t>Die Vorinstanz hat eine erhebliche Verschlechterung des Gesundheitszustandes seit der Verfügung vom 19. Dezember 2006 verneint. Sie hat festgestellt, entweder seien keine Korrelate vorhanden, welche die subjektiven Schmerzangaben hinreichend erklärten, oder allfällige objektivierbare Befunde seien bereits anlässlich der ersten materiellen Überprüfung des Leistungsanspruchs im Dezember 2006 bekannt gewesen und dort berücksichtigt worden. Entgegen den Vorbringen in der Beschwerde seien seither keine neuen Diagnosen hinzugekommen. Das neu in den Berichten des Spitals X.________, Rheumaklinik und Institut für Physikalische Medizin und Rehabilitation, vom 13. Juni, 9. Juli, 25. und 27. August 2008 erwähnte lumboradikuläre Schmerz- und sensible Ausfallsyndrom auf der Höhe L4 und L5 und eventuell S1 rechts sei gemäss Bericht derselben Klinik vom 5. Juni 2008 den Facettengelenksarthrosen auf Höhe L4/L5 und L5/S1 zuzuschreiben. Diese degenerativen Veränderungen seien sowohl im MRI der LWS vom 22. Februar 2006, als auch in demjenigen vom 11. April 2008 sichtbar gewesen und jeweils vom Radiologen Dr. med. W.________ als leicht qualifiziert worden, und es sei daher von unveränderten Befunden auszugehen.</w:t>
      </w:r>
    </w:p>
    <w:p>
      <w:r>
        <w:rPr>
          <w:b/>
        </w:rPr>
        <w:t>E. 4</w:t>
      </w:r>
    </w:p>
    <w:p>
      <w:r>
        <w:t>Wenn eine über die Jahre hin mit der gleichen Person befasste (z.B. wie im Falle des Beschwerdeführers auf Rückenbeschwerden) spezialisierte Klinik, hier das Spital X.________, neurologische und rheumatologische Abteilung - bei der kein Grund zur Annahme besteht, die Attestationen wiesen Gefälligkeitscharakter auf -, die Stellungnahme zur Arbeitsfähigkeit im Verlaufe der Zeit verschärft (nur noch 50 % für leichte Tätigkeiten laut Bericht vom 27. August 2008 statt 100 % nach Vorbericht vom 14. Februar 2006), begründet das im Sinne eines erheblichen Anhaltspunktes (Indizes) die natürliche Vermutung, es gehe dem Patienten gesundheitlich und/oder leistungsmässig tatsächlich schlechter. Dieser Schluss weicht einfachem Gegenbeweis; er ist erbracht, wenn feststeht, dass entweder gar keine neuen Befunde vorhanden sind oder dass die bestätigten neuen Befunde keine (zusätzlichen) Auswirkungen auf die Arbeitsfähigkeit haben. Hier steht aufgrund verbindlicher vorinstanzlicher Tatsachenerhebung die Existenz neuer Befunde, zumindest in Form einer neuen Symptomatik, ausser Diskussion (lumboradikuläres Schmerz- und sensibles Ausfallsyndrom auf Höhe von L4 und L5 rechts). Bezüglich der Frage, ob dieses Syndrom die Arbeitsfähigkeit für leichte Tätigkeiten einschränke, ist der Beweis nicht abschliessend geführt: Der Auffassung des Spitals X.________, welches diese Frage aufgrund eingehender Untersuchungen, namentlich unter Berücksichtigung des Zustandes, wie er sich nach der Radiofrequenz-Therapie der Facettengelenke von L5 bis S2 (8. Mai 2008) und des Sakralblockes (5. August 2008) präsentierte, ferner nach Erläuterung der rückenchirurgischen Interventionsmöglichkeiten (ventrale Diskektomie L5/S1 mit Implantation einer Bandscheibenprothese), bejaht hatte (27. August 2008), steht einzig die Stellungnahme des RAD vom 23. Dezember 2008 gegenüber, welche wegen fehlender eigener Untersuchung des Beschwerdeführers nicht geeignet ist, die anderslautende Einschätzung der Klinik zu entkräften, und zwar umso weniger als RAD-Arzt Dr. med. G.________ den "insgesamt stationären Gesundheitszustand" letztlich einzig mit dem Fehlen einer dokumentierten "Neurokompression" begründet, wo doch erfahrungsgemäss, je nach Ausprägung und Schweregrad, eine lumbale Symptomatik die Arbeitsfähigkeit auch ohne radikuläre Beteiligung einschränken kann. In dieser Beweislage bestand für die Beschwerdegegnerin die Pflicht zu ergänzenden medizinischen Abklärungen (Art. 43 f. ATSG), weshalb die Vorinstanz die Abweisungsverfügung vom 15. April 2009 nicht hätte bestätigen dürfen ( Art. 61 lit. c ATSG ).</w:t>
      </w:r>
    </w:p>
    <w:p>
      <w:r>
        <w:rPr>
          <w:b/>
        </w:rPr>
        <w:t>E. 5</w:t>
      </w:r>
    </w:p>
    <w:p>
      <w:r>
        <w:t>Bei diesem Ergebnis braucht auf die Vorbringen in der Beschwerde betreffend die Invaliditätsbemessung in der Verfügung vom 15. April 2009 nicht eingegangen zu werden.</w:t>
      </w:r>
    </w:p>
    <w:p>
      <w:r>
        <w:rPr>
          <w:b/>
        </w:rPr>
        <w:t>E. 6</w:t>
      </w:r>
    </w:p>
    <w:p>
      <w:r>
        <w:t>Bei diesem Ausgang des Verfahrens hat die IV-Stelle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