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9C_1056/2010 vom 21. März 2011</w:t>
      </w:r>
    </w:p>
    <w:p>
      <w:r>
        <w:t>Bundesgericht, 2011-03-21, DE</w:t>
      </w:r>
    </w:p>
    <w:p>
      <w:r>
        <w:rPr>
          <w:b/>
        </w:rPr>
        <w:t xml:space="preserve">Quelle: </w:t>
      </w:r>
      <w:r>
        <w:t>https://mcp.opencaselaw.ch/entscheid/bger_9C_1056_2010</w:t>
      </w:r>
    </w:p>
    <w:p>
      <w:r>
        <w:t>FR: TF 9C_1056/2010 du 21 mars 2011</w:t>
      </w:r>
    </w:p>
    <w:p>
      <w:r>
        <w:t>IT: TF 9C_1056/2010 del 21 marzo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ob der Beschwerdeführer in der Zeit vom 1. Januar 2008 bis 15. April 2008 der schweizerischen OKP angeschlossen war und darum grundsätzlich Anspruch auf Vergütung von Kosten eines aus medizinischen Gründen erforderlichen ausländischen Spitalaufenthaltes ( Art. 34 Abs. 2 KVG i.V.m. Art. 36 Abs. 2 KVV ) hat. Er bringt vor, trotz des Wegzugs Ende 2000 den bisherigen Wohnsitz in der Schweiz nicht aufgegeben zu haben, weil er nirgends einen neuen begründet habe. Er habe somit ununterbrochen Wohnsitz in der Schweiz gehabt. Für die Begründung eines Wohnsitzes in Spanien habe es am Erfordernis der Absicht des dauernden Verbleibens ( Art. 23 Abs. 1 ZGB ) gefehlt. Verwaltung und Vorinstanz hätten Art. 24 Abs. 1 ZGB missachtet, wonach der einmal begründete Wohnsitz einer Person bis zum Erwerb eines neuen Wohnsitzes bestehen bleibt.</w:t>
      </w:r>
    </w:p>
    <w:p>
      <w:r>
        <w:rPr>
          <w:b/>
        </w:rPr>
        <w:t>E. 3.1</w:t>
      </w:r>
    </w:p>
    <w:p>
      <w:r>
        <w:t>Gemäss Art. 3 Abs. 1 KVG (i.V.m. Art. 1 Abs. 1 KVV ) muss sich jede Person mit Wohnsitz in der Schweiz innert drei Monaten nach der Wohnsitznahme oder der Geburt in der Schweiz für Krankenpflege versichern oder von ihrem gesetzlichen Vertreter beziehungsweise ihrer gesetzlichen Vertreterin versichern lassen. Nach Art. 5 Abs. 1 Satz 1 KVG beginnt die Versicherung bei rechtzeitigem Beitritt ( Art. 3 Abs. 1 KVG ) im Zeitpunkt der Wohnsitznahme in der Schweiz. Erfolgt die Erstanmeldung beim Krankenversicherer rechtzeitig, beginnt der Versicherungsschutz im Zeitpunkt des Eintritts der Versicherungspflicht. Der gewählte Versicherer hat rückwirkend ab Begründung des Wohnsitzes in der Schweiz die Krankheitskosten zu decken (Urteil BGE 125 V 78 E. 2b; Gebhard Eugster, Krankenversicherung, in: Schweizerisches Bundesverwaltungsrecht [SBVR], 2. Aufl., S. 430 Rz. 99).</w:t>
      </w:r>
    </w:p>
    <w:p>
      <w:r>
        <w:rPr>
          <w:b/>
        </w:rPr>
        <w:t>E. 3.2</w:t>
      </w:r>
    </w:p>
    <w:p>
      <w:r>
        <w:t>Die OKP-Versicherung endet aus den Gründen, welche die Versicherungspflicht erlöschen lässt ( Art. 5 Abs. 3 KVG ), namentlich mit der Verlegung des Wohnsitzes ins Ausland (Gebhard Eugster, a.a.O., S. 432 Rz. 105, mit Hinweisen).</w:t>
      </w:r>
    </w:p>
    <w:p>
      <w:r>
        <w:rPr>
          <w:b/>
        </w:rPr>
        <w:t>E. 4</w:t>
      </w:r>
    </w:p>
    <w:p>
      <w:r>
        <w:t>Nach Art. 13 Abs. 1 ATSG bestimmt sich der Wohnsitz einer Person nach den Artikeln 23-26 ZGB. Der Wohnsitz einer Person befindet sich an dem Orte, an welchem sie sich mit der Absicht des dauernden Verbleibens aufhält ( Art. 23 Abs. 1 ZGB ). Zur Begründung des Wohnsitzes müssen somit zwei Merkmale kumulativ erfüllt sein, ein objektives äusseres Merkmal, d.h. der tatsächliche Aufenthalt im Sinne eines Wohnens (résider) ist erforderlich zur Begründung eines Lebensmittelpunktes, der blosse Wille zur Wohnsitznahme genügt nicht. Dazu kommt noch ein subjektives inneres Merkmal, die Absicht des dauernden Verbleibens, wobei dieses letztgenannte Element aufgrund von erkennbaren Umständen objektiv bestimmt werden muss (Staehelin, Basler Kommentar, Rz. 5 ff. und 20 zu Art. 23 ZGB , mit Hinweisen auf die Judikatur und U. KIESER, ATSG-Kommentar, 2. Aufl., Rz. 8c zu Art. 13). Für die subjektiv vorausgesetzte, äusserlich erkennbare Absicht des dauernden Verbleibens ist entscheidend, wo sich - unter Würdigung aller Umstände - der Mittelpunkt der Lebensbeziehungen befindet (Hausheer/Aebi-Müller, Das Personenrecht des Schweizerischen Zivilgesetzbuches, Bern 2008, Rz. 09.27 f.). Insbesondere schliesst die Absicht, einen Ort später wieder zu verlassen, eine Wohnsitzbegründung nicht aus ( BGE 127 V 237 E. 2c S. 241). Nur - aber immerhin - Indizien für die Beurteilung der Wohnsitzfrage sind die Anmeldung und Hinterlegung der Schriften, die Ausübung der politischen Rechte, die Bezahlung der Steuern, fremdenpolizeiliche Bewilligungen sowie die Gründe, die zur Wahl eines bestimmten Wohnsitzes veranlassen (Urteil des Eidgenössischen Versicherungsgerichtes K 34/04 vom 2. August 2005 E. 3, publiziert in: RKUV 2005 Nr. KV 344 S. 360).</w:t>
      </w:r>
    </w:p>
    <w:p>
      <w:r>
        <w:rPr>
          <w:b/>
        </w:rPr>
        <w:t>E. 5.1</w:t>
      </w:r>
    </w:p>
    <w:p>
      <w:r>
        <w:t>Das kantonale Gericht stellte fest, der Beschwerdeführer habe mit seinem Verhalten mehrfach dokumentiert, dass er mit der Abmeldung in der Gemeinde B.________ selber von der Aufgabe seines Wohnsitzes in der Schweiz auf den 30. November 2000 ausgegangen sei. Anlässlich der Parteiverhandlung habe er angegeben, man sei deshalb ins Ausland weggezogen, weil man es sich mit dem Ersparten nicht hätte leisten können, in der Schweiz bis zur Pensionierung zu leben. Dabei sei das Eigenheim verkauft und die schweizerische Krankenversicherung aufgelöst worden. Man habe in der Schweiz ab Dezember 2000 weder Steuern noch obligatorische Sozialversicherungsbeiträge bezahlt. Man habe hier auch über keine Kontaktadresse mehr verfügt und sei in die freiwillige AHV für Auslandschweizer übergetreten. Indem man sich umgehend einem spanischen Krankenversicherer angeschlossen, ein Motorfahrzeug eingelöst und ein Haus gekauft und sich in der betreffenden Gemeinde angemeldet habe, sei in Spanien neu Wohnsitz begründet worden. Erst mit der Wiedereinreise am 15. April 2008 habe der Beschwerdeführer diesen wieder in der Schweiz etabliert.</w:t>
      </w:r>
    </w:p>
    <w:p>
      <w:r>
        <w:rPr>
          <w:b/>
        </w:rPr>
        <w:t>E. 5.2</w:t>
      </w:r>
    </w:p>
    <w:p>
      <w:r>
        <w:t>Die Einwände des Beschwerdeführers gegen die vorinstanzliche Sachverhaltswürdigung sind nicht stichhaltig und lassen sie nicht als offensichtlich unrichtig oder rechtsverletzend im Sinne von Art. 95 BGG (vorne E. 1) erscheinen. Namentlich rechtfertigen weder der Umstand, dass es sich bei dem in Spanien eingelösten Motorfahrzeug um ein Wohnmobil handelte, mit dem das Ehepaar längere ausgedehnte Auslandreisen unternahm, noch die Tatsache, dass das in Spanien gekaufte und selber bewohnte Haus zum späteren Verkauf vorgesehen war, die Annahme, dass kein neuer Wohnsitz begründet worden sei (vorne E. 4). Dabei ist unbestritten, dass der Beschwerdeführer sich nicht zum Zweck der (über mehrere Jahre weg dreimaligen) Hospitalisation in die Gegend von X.________ in Spanien begab. Deshalb dringt auch der Einwand nicht durch, nach Art. 26 ZGB begründe die Unterbringung einer Person in einer Heilanstalt keinen Wohnsitz.</w:t>
      </w:r>
    </w:p>
    <w:p>
      <w:r>
        <w:rPr>
          <w:b/>
        </w:rPr>
        <w:t>E. 6</w:t>
      </w:r>
    </w:p>
    <w:p>
      <w:r>
        <w:t>Der Versicherungsträger kann auf formell rechtskräftige Verfügungen oder Einspracheentscheide zurückkommen, wenn diese zweifellos unrichtig sind und wenn ihre Berichtigung von erheblicher Bedeutung ist ( Art. 53 Abs. 2 ATSG ). Die Vorinstanz hat nach dem Gesagten mit Recht festgestellt, dass die Berichtigung des Abrechnungsentscheides vom 15. Juli 2008 für eine medizinische Behandlung im Ausland wegen Fehlens eines schweizerischen Wohnsitzes vor der Einreise in die Schweiz am 15. April 2008 und damit einhergehender zweifelloser Unrichtigkeit von erheblicher Bedeutung war. Dieser materielle Kassenakt ( BGE 129 V 110 ) durfte umso mehr im Rahmen der Wiedererwägung zurückgezogen werden, als der Beschwerdeführer gestützt auf die ursprüngliche Zusicherung keine Dispositionen getroffen hatte, die er nicht oder nur zu seinem Nachteil rückgängig machen konnte; damit steht auch der verfassungsmässige Vertrauensschutz ( Art. 9 BV ) dem Rückkommen auf die nach den aktenmässig ausgewiesenen Umständen, insbesondere den initial gemachten einen über die Jahre hin in der Schweiz aufrechterhaltenen Wohnsitz eindeutig ausschliessenden Angaben, zweifellos unrichtige Leistungszusicherung vom 15. Juli 2008 nicht entgegen.</w:t>
      </w:r>
    </w:p>
    <w:p>
      <w:r>
        <w:rPr>
          <w:b/>
        </w:rPr>
        <w:t>E. 7</w:t>
      </w:r>
    </w:p>
    <w:p>
      <w:r>
        <w:t>Der Beschwerdeführer trägt als unterliegende Partei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