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9C_1055/2008 vom 2. Februar 2009</w:t>
      </w:r>
    </w:p>
    <w:p>
      <w:r>
        <w:t>Bundesgericht, 2009-02-02, DE</w:t>
      </w:r>
    </w:p>
    <w:p>
      <w:r>
        <w:rPr>
          <w:b/>
        </w:rPr>
        <w:t xml:space="preserve">Quelle: </w:t>
      </w:r>
      <w:r>
        <w:t>https://mcp.opencaselaw.ch/entscheid/bger_9C_1055_2008</w:t>
      </w:r>
    </w:p>
    <w:p>
      <w:r>
        <w:t>FR: TF 9C_1055/2008 du 2 février 2009</w:t>
      </w:r>
    </w:p>
    <w:p>
      <w:r>
        <w:t>IT: TF 9C_1055/2008 del 2 febbraio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9C_1055/2008</w:t>
      </w:r>
    </w:p>
    <w:p>
      <w:r>
        <w:t>Urteil vom 2. Februar 2009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 Traub.</w:t>
      </w:r>
    </w:p>
    <w:p>
      <w:r>
        <w:t>Parteien</w:t>
      </w:r>
    </w:p>
    <w:p>
      <w:r>
        <w:t>H.________,</w:t>
      </w:r>
    </w:p>
    <w:p>
      <w:r>
        <w:t>Beschwerdeführer,</w:t>
      </w:r>
    </w:p>
    <w:p>
      <w:r>
        <w:t>gegen</w:t>
      </w:r>
    </w:p>
    <w:p>
      <w:r>
        <w:t>Unbekannten Beschwerdegegner,</w:t>
      </w:r>
    </w:p>
    <w:p>
      <w:r>
        <w:t>Gegenstand</w:t>
      </w:r>
    </w:p>
    <w:p>
      <w:r>
        <w:t>Krankenversicherung,</w:t>
      </w:r>
    </w:p>
    <w:p>
      <w:r>
        <w:t>Beschwerde gegen einen Entscheid des Sozialversicherungsgerichts des Kantons Zürich vom 12. November 2008.</w:t>
      </w:r>
    </w:p>
    <w:p>
      <w:r>
        <w:t>Nach Einsicht</w:t>
      </w:r>
    </w:p>
    <w:p>
      <w:r>
        <w:t>in die Beschwerde vom 17. Dezember 2008 (Poststempel) gegen einen Entscheid des Sozialversicherungsgerichts des Kantons Zürich vom 12. November 2008,</w:t>
      </w:r>
    </w:p>
    <w:p>
      <w:r>
        <w:t>in Erwägung,</w:t>
      </w:r>
    </w:p>
    <w:p>
      <w:r>
        <w:t>dass der Entscheid, gegen den sich die Rechtsschrift richtet, der Beschwerdeeingabe beizulegen ist (Art. 42 Abs. 3 [zweiter Teilsatz] BGG),</w:t>
      </w:r>
    </w:p>
    <w:p>
      <w:r>
        <w:t>dass dies im Rahmen der Eingabe vom 17. Dezember 2008 nicht geschehen ist,</w:t>
      </w:r>
    </w:p>
    <w:p>
      <w:r>
        <w:t>dass das Gericht dem Beschwerdeführer diesen Formmangel gemäss Art. 42 Abs. 5 BGG angezeigt hat, verbunden mit der Aufforderung, den Formmangel bis spätestens am 12. Januar 2009 zu beheben, ansonsten die Rechtsschrift unbeachtet bleibe (Verfügung vom 19. Dezember 2008),</w:t>
      </w:r>
    </w:p>
    <w:p>
      <w:r>
        <w:t>dass eine Mitteilung, die nur gegen Unterschrift des Adressaten oder einer anderen berechtigten Person überbracht wird, spätestens am siebenten Tag nach dem ersten erfolglosen Zustellungsversuch als erfolgt gilt ( Art. 44 Abs. 2 BGG ),</w:t>
      </w:r>
    </w:p>
    <w:p>
      <w:r>
        <w:t>dass die siebentägige Abholungsfrist auch für postlagernde Sendungen gilt (Amstutz/Arnold, Basler Kommentar zum Bundesgerichtsgesetz, 2008, N. 36 zu Art. 44 mit Hinweisen),</w:t>
      </w:r>
    </w:p>
    <w:p>
      <w:r>
        <w:t>dass die als Einschreibebrief mit Rückschein an eine Postlagernd-Adresse zugestellte Verfügung vom 19. Dezember 2008 mit dem postalischen Vermerk "nicht abgeholt" am 2. Februar 2009 an das Bundesgericht zurückgelangt ist,</w:t>
      </w:r>
    </w:p>
    <w:p>
      <w:r>
        <w:t>dass der Formmangel somit jedenfalls nicht innert der gerichtlich gesetzten Frist behoben worden ist,</w:t>
      </w:r>
    </w:p>
    <w:p>
      <w:r>
        <w:t>dass deshalb im vereinfachten Verfahren nach Art. 108 Abs. 1 lit. a BGG auf die Beschwerde nicht einzutreten ist und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H.________ und dem Sozialversicherungsgericht des Kantons Zürich schriftlich mitgeteilt.</w:t>
      </w:r>
    </w:p>
    <w:p>
      <w:r>
        <w:t>Luzern, 2. Februar 2009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Meyer Traub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