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1054/2008 vom 11. Mai 2009</w:t>
      </w:r>
    </w:p>
    <w:p>
      <w:r>
        <w:t>Bundesgericht, 2009-05-11, FR</w:t>
      </w:r>
    </w:p>
    <w:p>
      <w:r>
        <w:rPr>
          <w:b/>
        </w:rPr>
        <w:t xml:space="preserve">Quelle: </w:t>
      </w:r>
      <w:r>
        <w:t>https://mcp.opencaselaw.ch/entscheid/bger_9C_1054_2008</w:t>
      </w:r>
    </w:p>
    <w:p>
      <w:r>
        <w:t>FR: TF 9C 1054/2008 du 11 mai 2009</w:t>
      </w:r>
    </w:p>
    <w:p>
      <w:r>
        <w:t>IT: TF 9C 1054/2008 del 11 maggio 2009</w:t>
      </w:r>
    </w:p>
    <w:p>
      <w:pPr>
        <w:pStyle w:val="Heading2"/>
      </w:pPr>
      <w:r>
        <w:t>Regeste</w:t>
      </w:r>
    </w:p>
    <w:p>
      <w:r>
        <w:t>Assurance-invalidité | Assurance-invalidité</w:t>
      </w:r>
    </w:p>
    <w:p>
      <w:pPr>
        <w:pStyle w:val="Heading2"/>
      </w:pPr>
      <w:r>
        <w:t>Erwägungen</w:t>
      </w:r>
    </w:p>
    <w:p>
      <w:r>
        <w:rPr>
          <w:b/>
        </w:rPr>
        <w:t>E. 1</w:t>
      </w:r>
    </w:p>
    <w:p>
      <w:r>
        <w:t>Le Tribunal fédéral applique le droit d'office ( art. 106 LTF ). Il n'est pas lié par les motifs que les parties invoquent, de sorte qu'il peut admettre le recours pour d'autres raisons que celles avancées par le recourant ou, au contraire, confirmer la décision attaquée pour d'autres motifs que ceux retenus par l'autorité précédente ( ATF 133 II 249 consid. 1.4.1 et 1.4.2 p. 254; arrêt 9C_562/2008 du 3 novembre 2008, consid. 1). Le Tribunal statue sur la base des faits établis par la juridiction de première instance qui le lient ( art. 105 al. 1 LTF ), sauf s'ils l'ont été de façon manifestement inexacte ou en violation du droit au sens de l' art. 95 LTF (art. 105 al. 2 en relation avec l' art. 97 LTF ).</w:t>
      </w:r>
    </w:p>
    <w:p>
      <w:r>
        <w:rPr>
          <w:b/>
        </w:rPr>
        <w:t>E. 2.1</w:t>
      </w:r>
    </w:p>
    <w:p>
      <w:r>
        <w:t>Aux termes de l' art. 30 LPGA ,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(KIESER, ATSG-Kommentar, 2009, n° 13 ad art. 30 LPGA ). Selon l' art. 39 al. 2 LPGA en corrélation avec l' art. 60 al. 2 LPGA ,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 ATF 102 V 75 consid. 1; VSI 1995 p. 199 consid. 3b et les références; arrêt H 363/99 du 25 janvier 2000 et les références; arrêt 2C_603/2008 du 11 février 2009, consid. 3; arrêt 9C_867/2008 du 6 avril 2009, consid. 7).</w:t>
      </w:r>
    </w:p>
    <w:p>
      <w:r>
        <w:rPr>
          <w:b/>
        </w:rPr>
        <w:t>E. 2.2</w:t>
      </w:r>
    </w:p>
    <w:p>
      <w:r>
        <w:t>Dans le cas particulier, l'OCAI ayant été saisi d'une écriture du recourant le 20 novembre 2008 (cf. timbre postal), il aurait dû la transmettre au tribunal des assurances du canton de Genève, ce d'autant plus qu'il avait déjà transmis à la juridiction cantonale, dix jours plus tôt, une correspondance du recourant ayant la même teneur. Dans la mesure où le mémoire signé en original avait le même contenu que le premier mémoire télécopié du 10 novembre 2008, il ne fait aucun doute que le recourant n'avait d'autre intention, avec sa correspondance du 20 novembre 2008, que de parfaire son recours du 10 novembre 2008, conformément à l'injonction du tribunal des assurances. N'ayant pas eu connaissance de l'écriture du recourant du 20 novembre 2008 en temps utile en raison de la violation par l'OCAI de son obligation de transmission, la juridiction cantonale a malgré tout établi les faits d'une façon manifestement inexacte. Par conséquent, il convient d'annuler le jugement entrepris et de renvoyer la cause à l'instance inférieure pour qu'elle rende une nouvelle décision, compte tenu de l'écriture du recourant du 20 novembre 2008. Le recours en matière de droit public se révèle ainsi bien fondé.</w:t>
      </w:r>
    </w:p>
    <w:p>
      <w:r>
        <w:rPr>
          <w:b/>
        </w:rPr>
        <w:t>E. 3</w:t>
      </w:r>
    </w:p>
    <w:p>
      <w:r>
        <w:t>Vu l'issue du litige, les frais judiciaires doivent être mis à la charge de l'intimé, qui succombe ( art. 66 al. 1 LTF ). Dans la mesure où il n'est pas représenté par un mandataire professionnel, le recourant, qui obtient gain de cause, n'a pas droit à des dépens ( art. 68 al. 1 et 2 LTF ; cf. ATF 133 III 439 consid. 4 p. 446). Sa requête d'assistance judiciaire partielle, portant sur la dispense des frais judiciaires,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