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9C_1053/2010 vom 28. Januar 2011</w:t>
      </w:r>
    </w:p>
    <w:p>
      <w:r>
        <w:t>Bundesgericht, 2011-01-28, DE</w:t>
      </w:r>
    </w:p>
    <w:p>
      <w:r>
        <w:rPr>
          <w:b/>
        </w:rPr>
        <w:t xml:space="preserve">Quelle: </w:t>
      </w:r>
      <w:r>
        <w:t>https://mcp.opencaselaw.ch/entscheid/bger_9C_1053_2010</w:t>
      </w:r>
    </w:p>
    <w:p>
      <w:r>
        <w:t>FR: TF 9C_1053/2010 du 28 janvier 2011</w:t>
      </w:r>
    </w:p>
    <w:p>
      <w:r>
        <w:t>IT: TF 9C_1053/2010 del 28 gennaio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2</w:t>
      </w:r>
    </w:p>
    <w:p>
      <w:r>
        <w:t>Die Vorinstanz hat die massgebenden Bestimmungen und die Rechtsprechung zur Invalidität erwerbstätiger Versicherter ( Art. 8 Abs. 1 ATSG ), zum Umfang des Rentenanspruchs ( Art. 28 Abs. 2 IVG ), zur Bemessung des Invaliditätsgrades bei erwerbstätigen Versicherten nach der allgemeinen Methode des Einkommensvergleichs ( Art. 28a Abs. 1 IVG in Verbindung mit Art. 16 ATSG ), zur Aufgabe von Ärztinnen und Ärzten bei der Invaliditätsbemessung ( BGE 125 V 256 E. 4 S. 261) sowie zum Beweiswert medizinischer Berichte und Gutachten ( BGE 125 V 351 E. 3a-c S. 352 ff.) zutreffend dargelegt. Darauf wird verwiesen.</w:t>
      </w:r>
    </w:p>
    <w:p>
      <w:r>
        <w:rPr>
          <w:b/>
        </w:rPr>
        <w:t>E. 3</w:t>
      </w:r>
    </w:p>
    <w:p>
      <w:r>
        <w:t>Streitig und zu prüfen ist, ob die IV-Stelle zu verpflichten ist, über die Leistungsansprüche (berufliche Massnahmen, Rente) neu zu entscheiden. Gerügt wird, die Vorinstanz habe den Sachverhalt sowohl in medizinischer Hinsicht wie in Bezug auf die Erwerbsfähigkeit offensichtlich unrichtig festgestellt. Streitgegenstand bildet dabei nur der Rentenanspruch, weil vor Bundesgericht keine neuen Anträge gestellt werden können ( Art. 99 Abs. 2 BGG ).</w:t>
      </w:r>
    </w:p>
    <w:p>
      <w:r>
        <w:rPr>
          <w:b/>
        </w:rPr>
        <w:t>E. 4.1</w:t>
      </w:r>
    </w:p>
    <w:p>
      <w:r>
        <w:t>Zu der Beurteilung der Arbeitsfähigkeit in medizinischer Hinsicht wird in der Beschwerde angeführt, es sei ausschliesslich der Untersuchungsbericht des RAD-Arztes Dr. med. R.________ vom 19. No-vember 2009 als massgebend erachtet worden. Dieser stehe in deutlichem Widerspruch zu den Beurteilungen durch den behandelnden Arzt Dr. med. N.________ und die UPD, welche sich beide auf eine wesentlich längere Beobachtung und Erfahrung gestützt hätten. Deren Einschätzungen seien entgegen der Vorinstanz nicht ausschliesslich mit den subjektiven Wahrnehmungen des Beschwerdeführers begründet worden. Ihre Schlussfolgerungen hätten sich auf fachärztliche Kriterien gestützt. Aufgrund der Erfahrungen im A.________-Programm und der Psychotherapie-Tagesklinik der UPD sei aus fachärztlicher Sicht die Diagnose einer zwanghaften Persönlichkeitsstörung (ICD-10 F60.5) gestellt worden. Die Vorinstanz habe sich damit zu Unrecht nicht auseinandergesetzt und sich stattdessen auf die vom RAD-Arzt Dr. med. R.________ gestellte Diagnose von akzentuierten Persönlichkeitsstörungen (ICD-10 Z73.1) gestützt und diese aufgrund der Rechtsprechung als nicht invalidisierend eingestuft.</w:t>
      </w:r>
    </w:p>
    <w:p>
      <w:r>
        <w:rPr>
          <w:b/>
        </w:rPr>
        <w:t>E. 4.2</w:t>
      </w:r>
    </w:p>
    <w:p>
      <w:r>
        <w:t>Dazu hat die Vorinstanz mit Recht auf die in BGE 135 V 254 (Urteil 9C_204/2009 vom 6. Juli 2009) nicht publizierte E. 3.3.2 verwiesen, wonach gemäss Art. 59 Abs. 2bis IVG die regionalen ärztlichen Dienste die für die Invalidenversicherung nach Artikel 6 ATSG massgebende funktionelle Leistungsfähigkeit der Versicherten festsetzen,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Sofern die RAD-Untersuchungsberichte den Anforderungen an ein ärztliches Gutachten ( BGE 125 V 351 E. 3a S. 352) genügen, auch hinsichtlich der erforderlichen ärztlichen Qualifikationen (Urteil I 142/07 vom 20. November 2007 E. 3.2.3), haben sie einen vergleichbaren Beweiswert wie ein anderes Gutachten (Urteil 9C_204/2009 vom 6. Juli 2009 E. 3.3.2 mit zahlreichen Hinweisen).</w:t>
      </w:r>
    </w:p>
    <w:p>
      <w:r>
        <w:rPr>
          <w:b/>
        </w:rPr>
        <w:t>E. 4.3</w:t>
      </w:r>
    </w:p>
    <w:p>
      <w:r>
        <w:t>Der RAD-Bericht vom 19. November 2009 stellt einen Bericht nach Art. 49 Abs. 2 IVV dar. Er wurde von einem Facharzt erstellt, welcher Kenntnis aller relevanten medizinischen Akten hatte und eine eigene Untersuchung durchführte. Unabhängig von der Frage, ob der Bericht als Gutachten im Sinne von Art. 44 ATSG zu qualifizieren ist, hat die Vorinstanz kein Bundesrecht verletzt, wenn sie ihm Beweiswert zuerkannte und darauf abstellte und ihn den verschiedenen Berichten des behandelnden Arztes Dr. med. N.________, dem UPD-Austrittsbericht (vom 28. Dezember 2009) und dem Zwischen- und Schlussbericht Eingliederungsmanagement (28. Januar und 29. Juni 2009) vorgezogen hat. Eine offensichtlich unrichtige Sachverhaltsfeststellung oder eine Rechtsverletzung liegen in diesem Punkt nicht vor. Dr. med. R.________ fasste die für den Beschwerdeführer definierten Zumutbarkeitsprofile der emotional instabilen Persönlichkeitsstörung vom Borderline-Typus und den akzentuierten anankastischen (zwanghaften) Persönlichkeitszügen wie folgt zusammen: "Der erlernte Beruf als Koch ist nur noch möglich, wenn der Versicherte diesen Beruf alleine durchführen kann oder in einem möglichst kleinen, wohlwollenden Team. Eine Arbeit in einer Grossküche mit viel Arbeitsstress und Zeitdruck ist dagegen nicht mehr möglich. Die zuletzt durchgeführte Tätigkeit als Mitarbeiter im Bereich Gemüse und Obst in einem Tiefkühllager ist auch nicht mehr möglich wegen der in einem solchen Betrieb möglichen und in der Realität aufgetretenen zwischenmenschlichen Konflikte. Eine solche Arbeit wäre für den Versicherten ebenfalls möglich, wenn er sie alleine oder in einem möglichst kleinen, wohlwollenden Team durchführen könnte. Für diese beiden Tätigkeiten gilt ebenfalls die um 20 % eingeschränkte Leistungsfähigkeit." Der allgemeine Arbeitsmarkt ( Art. 16 ATSG ; BGE 110 V 273 E. 4b S. 276; ZAK 1991 S. 318; Urteil 9C_538/2010 vom 30. Dezember 2010 E. 2.2) bietet eine ausreichende Anzahl diesem Zumutbarkeitsprofil entsprechender Beschäftigungen.</w:t>
      </w:r>
    </w:p>
    <w:p>
      <w:r>
        <w:rPr>
          <w:b/>
        </w:rPr>
        <w:t>E. 5</w:t>
      </w:r>
    </w:p>
    <w:p>
      <w:r>
        <w:t>Wenn es nach dem Gesagten bundesrechtskonform beim Zumutbarkeitsprofil gemäss der Beurteilung des RAD-Arztes Dr. med. R.________ bleibt, erübrigen sich Erörterungen zum beanstandeten Valideneinkommen, da sich selbst bei Annahme des in der vorinstanzlichen Beschwerde höchstgenannten Lohnes von Fr. 72'800.- (gelernter Koch mit 20-jähriger Berufserfahrung mit Führungsfunktion gemäss Landesgesamtarbeitsvertrag des Gastgewerbes) mit einem Invaliditätsgrad von gerundet 33 % kein Rentenanspruch ergeben würde (Valideneinkommen von Fr. 72'800.- ./. Invalideneinkommen von Fr. 49'106.25 = Einkommenseinbusse von Fr. 23'693.75 = 32,54 %).</w:t>
      </w:r>
    </w:p>
    <w:p>
      <w:r>
        <w:rPr>
          <w:b/>
        </w:rPr>
        <w:t>E. 6</w:t>
      </w:r>
    </w:p>
    <w:p>
      <w:r>
        <w:t>Dem Gesuch des Beschwerdeführers um unentgeltliche Rechtspflege ist stattzugeben, da die gesetzlichen Voraussetzungen erfüllt sind ( Art. 64 Abs. 1 BGG ). Der Beschwerdeführer wird jedoch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