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9C_1050/2012 vom 31. Januar 2013</w:t>
      </w:r>
    </w:p>
    <w:p>
      <w:r>
        <w:t>Bundesgericht, 2013-01-31, DE</w:t>
      </w:r>
    </w:p>
    <w:p>
      <w:r>
        <w:rPr>
          <w:b/>
        </w:rPr>
        <w:t xml:space="preserve">Quelle: </w:t>
      </w:r>
      <w:r>
        <w:t>https://mcp.opencaselaw.ch/entscheid/bger_9C_1050_2012</w:t>
      </w:r>
    </w:p>
    <w:p>
      <w:r>
        <w:t>FR: TF 9C_1050/2012 du 31 janvier 2013</w:t>
      </w:r>
    </w:p>
    <w:p>
      <w:r>
        <w:t>IT: TF 9C_1050/2012 del 31 gennaio 2013</w:t>
      </w:r>
    </w:p>
    <w:p>
      <w:pPr>
        <w:pStyle w:val="Heading2"/>
      </w:pPr>
      <w:r>
        <w:t>Erwägungen</w:t>
      </w:r>
    </w:p>
    <w:p>
      <w:r>
        <w:rPr>
          <w:b/>
        </w:rPr>
        <w:t>E. 1.1</w:t>
      </w:r>
    </w:p>
    <w:p>
      <w:r>
        <w:t>Die Beschwerde in öffentlich-rechtlichen Angelegenheiten ( Art. 82 ff. BGG )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1.2</w:t>
      </w:r>
    </w:p>
    <w:p>
      <w:r>
        <w:t>Das kantonale Gericht hat die Sache unter Aufhebung des Einspracheentscheides zu weiteren Abklärungen an die Beschwerdeführerin zurückgewiesen. Praxisgemäss bewirkt ein solcher Rückweisungsentscheid in der Regel keinen nicht wieder gutzumachenden Nachteil im Sinne von Art. 93 Abs. 1 lit. a BGG ; er führt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(vgl. BGE 133 V 477 E. 5.2 S. 483 ff.; Urteil 8C_682/2007 vom 30. Juli 2008 E. 1.2.1, nicht publ. in: BGE 134 V 392 , aber in: SVR 2008 UV Nr. 31 S. 115; Urteil 9C_147/2012 vom 26. April 2012 E. 1.2). So verhält es sich hier nicht, denn die Assura hat nach erfolgter Abklärung über die Leistungspflicht neu zu befinden, ohne dass der angefochtene Entscheid präjudizierende Wirkung entfaltet ( BGE 133 V 477 E. 5.2.4 S. 484). Die Eintretensvoraussetzung des Art. 93 Abs. 1 lit. a BGG ist damit nicht erfüllt.</w:t>
      </w:r>
    </w:p>
    <w:p>
      <w:r>
        <w:t>Was die Beschwerdeführerin vorbringt, vermag zu keinem anderen Ergebnis zu führen. Zu Unrecht betrachtet sie als nicht wieder gutzumachenden Nachteil, dass "mit grösster Wahrscheinlichkeit zusätzliche Abklärungen keine neuen Erkenntnisse bringen würden". Denn an der Eintretensvoraussetzung des Art. 93 Abs. 1 lit. a BGG fehlt es nach ständiger Rechtsprechung selbst im Fall, dass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 9C_34/2009 vom 24. Februar 2010 E. 3.3, in: SVR 2010 IV Nr. 61 S. 186; 9C_301/2007 vom 28. September 2007 E. 2.2). Sodann kann auch im Umstand, dass das kantonale Gericht nicht selber die nötigen Instruktionen vornahm, sondern die Sache zwecks weiterer Beweiserhebung an die Assura zurückwies - was diese als nicht gerechtfertigt erachtet mit der Begründung, sie werde damit verpflichtet, die Abklärungsaufgaben der Vorinstanz zu übernehmen - kein nicht wieder gutzumachender Nachteil im Sinne von Art. 93 Abs. 1 lit. a BGG erblickt werden (Urteil 8C_760/2011 vom 26. Januar 2012, in: SVR 2012 UV Nr. 19 S. 71; 8C_559/2012 vom 7. September 2012 E. 2).</w:t>
      </w:r>
    </w:p>
    <w:p>
      <w:r>
        <w:rPr>
          <w:b/>
        </w:rPr>
        <w:t>E. 1.3</w:t>
      </w:r>
    </w:p>
    <w:p>
      <w:r>
        <w:t>Die Beschwerdeführerin äussert sich nicht zur Eintretensvoraussetzung des Art. 93 Abs. 1 lit. b BGG . Mangels rechtsgenüglicher Substanziierung ist diese von vornherein nicht gegeben (Urteile 9C_108/2012 vom 5. Juni 2012 E. 2.3 sowie 9C_167/2012 und 9C_171/2012 vom 23. Mai 2012, je E. 3.3).</w:t>
      </w:r>
    </w:p>
    <w:p>
      <w:r>
        <w:rPr>
          <w:b/>
        </w:rPr>
        <w:t>E. 2</w:t>
      </w:r>
    </w:p>
    <w:p>
      <w:r>
        <w:t>Die Beschwerde ist offensichtlich unzulässig ( Art. 108 Abs. 1 lit. a BGG ), weshalb darauf einzelrichterlich ( Art. 108 Abs. 2 BGG ) nicht einzutreten ist.</w:t>
      </w:r>
    </w:p>
    <w:p>
      <w:r>
        <w:t>Entsprechend dem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