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9C_104/2024 vom 20. Februar 2024</w:t>
      </w:r>
    </w:p>
    <w:p>
      <w:r>
        <w:t>Bundesgericht, 2024-02-20, DE</w:t>
      </w:r>
    </w:p>
    <w:p>
      <w:r>
        <w:rPr>
          <w:b/>
        </w:rPr>
        <w:t xml:space="preserve">Quelle: </w:t>
      </w:r>
      <w:r>
        <w:t>https://mcp.opencaselaw.ch/entscheid/bger_9C_104_2024</w:t>
      </w:r>
    </w:p>
    <w:p>
      <w:r>
        <w:t>FR: TF 9C_104/2024 du 20 février 2024</w:t>
      </w:r>
    </w:p>
    <w:p>
      <w:r>
        <w:t>IT: TF 9C_104/2024 del 20 febbraio 2024</w:t>
      </w:r>
    </w:p>
    <w:p>
      <w:pPr>
        <w:pStyle w:val="Heading2"/>
      </w:pPr>
      <w:r>
        <w:t>Volltext</w:t>
      </w:r>
    </w:p>
    <w:p>
      <w:r>
        <w:t>Bundesgericht</w:t>
      </w:r>
    </w:p>
    <w:p>
      <w:r>
        <w:t>Tribunal fédéral</w:t>
      </w:r>
    </w:p>
    <w:p>
      <w:r>
        <w:t>Tribunale federale</w:t>
      </w:r>
    </w:p>
    <w:p>
      <w:r>
        <w:t>Tribunal federal</w:t>
      </w:r>
    </w:p>
    <w:p>
      <w:r>
        <w:t>9C_104/2024</w:t>
      </w:r>
    </w:p>
    <w:p>
      <w:r>
        <w:t>Urteil vom 20. Februar 2024</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Atupri Gesundheitsversicherung, Zieglerstrasse 29, 3000 Berne,</w:t>
      </w:r>
    </w:p>
    <w:p>
      <w:r>
        <w:t>Beschwerdegegnerin.</w:t>
      </w:r>
    </w:p>
    <w:p>
      <w:r>
        <w:t>Gegenstand</w:t>
      </w:r>
    </w:p>
    <w:p>
      <w:r>
        <w:t>Krankenversicherung ( Art. 85a SchKG ),</w:t>
      </w:r>
    </w:p>
    <w:p>
      <w:r>
        <w:t>Beschwerde gegen den Entscheid des Obergerichts des Kantons Aargau, Zivilgericht vom 8. Januar 2024 (ZVE.2023.42).</w:t>
      </w:r>
    </w:p>
    <w:p>
      <w:r>
        <w:t>Nach Einsicht</w:t>
      </w:r>
    </w:p>
    <w:p>
      <w:r>
        <w:t>in den Entscheid vom 8. Januar 2024, mit welchem das Obergericht des Kantons Aargau die Beschwerde als offensichtlich unbegründet abwies, welche A.________ erhoben hatte gegen den Entscheid vom 12. September 2023, mit welchem die Präsidentin des Bezirksgerichts Muri auf seine negative Feststellungsklage ( Art. 85a SchKG ) nicht eingetreten war,</w:t>
      </w:r>
    </w:p>
    <w:p>
      <w:r>
        <w:t>in die von A.________ dagegen eingereichte Beschwerde,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Urteils massgeblichen Erwägungen der Vorinstanz einzugehen und im Einzelnen aufzuzeigen ist, worin eine Verletzung von Bundesrecht liegt ( BGE 140 III 86 E. 2; 134 V 53 E. 3.3),</w:t>
      </w:r>
    </w:p>
    <w:p>
      <w:r>
        <w:t>dass sich der Beschwerdeführer auch nicht ansatzweise mit den Erwägungen auseinandersetzt, wonach der beim Obergericht angefochtene Nichteintretensentscheid vom 12. September 2023 aufgrund des Prozesshindernisses der abgeurteilten Sache zu Recht ergangen sei (vgl. dazu auch Urteil 9C_136/2023 vom 14. März 2023),</w:t>
      </w:r>
    </w:p>
    <w:p>
      <w:r>
        <w:t>dass er stattdessen seine bereits vor dem kantonalen Gericht gemachten, in keinem Zusammenhang mit dem vorliegenden Verfahren stehenden Ausführungen wiederholt, wonach er weiterhin kriminellen Aktivitäten ausgesetzt sei, die ihn bereits zu einer Strafanzeige veranlasst hätten (vgl. dazu auch Urteil 7B_364/2023 vom 4. September 2023),</w:t>
      </w:r>
    </w:p>
    <w:p>
      <w:r>
        <w:t>dass seinen Ausführungen mithin nicht entnommen werden kann, inwiefern die vorinstanzliche Sachverhaltsfeststellung im Sinne von Art. 97 Abs. 1 BGG - soweit überhaupt beanstandet - unzutreffend und die darauf beruhenden Erwägungen rechtsfehlerhaft sein sollen,</w:t>
      </w:r>
    </w:p>
    <w:p>
      <w:r>
        <w:t>dass seine Eingabe den genannten inhaltlichen Mindestanforderungen an eine Beschwerde demnach nicht genügt,</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Aargau, Zivilgericht, 4. Kammer, und dem Bundesamt für Gesundheit schriftlich mitgeteilt.</w:t>
      </w:r>
    </w:p>
    <w:p>
      <w:r>
        <w:t>Luzern, 20. Februar 2024</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