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9C_104/2014 vom 30. Mai 2014</w:t>
      </w:r>
    </w:p>
    <w:p>
      <w:r>
        <w:t>Bundesgericht, 2014-05-30, FR</w:t>
      </w:r>
    </w:p>
    <w:p>
      <w:r>
        <w:rPr>
          <w:b/>
        </w:rPr>
        <w:t xml:space="preserve">Quelle: </w:t>
      </w:r>
      <w:r>
        <w:t>https://mcp.opencaselaw.ch/entscheid/bger_9C_104_2014</w:t>
      </w:r>
    </w:p>
    <w:p>
      <w:r>
        <w:t>FR: TF 9C_104/2014 du 30 mai 2014</w:t>
      </w:r>
    </w:p>
    <w:p>
      <w:r>
        <w:t>IT: TF 9C_104/2014 del 30 maggio 2014</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w:t>
      </w:r>
    </w:p>
    <w:p>
      <w:r>
        <w:t>Le jugement entrepris expose correctement les dispositions légales et les principes jurisprudentiels applicables en matière de révision de la rente d'invalidité ( art. 17 LPGA ), de sorte qu'il suffit d'y renvoyer.</w:t>
      </w:r>
    </w:p>
    <w:p>
      <w:r>
        <w:rPr>
          <w:b/>
        </w:rPr>
        <w:t>E. 3.1</w:t>
      </w:r>
    </w:p>
    <w:p>
      <w:r>
        <w:t>Se fondant sur les conclusions de l'expertise pluridisciplinaire réalisée auprès de la Clinique C.________, la juridiction cantonale a estimé qu'il n'y avait pas eu de changement important des circonstances propre à influencer le degré d'invalidité, et donc le droit à la rente. Seul le docteur B.________ avait émis une appréciation de la situation qui différait de celle qui prévalait au moment de la naissance du droit à la rente. Or selon la jurisprudence, lorsque les circonstances sont demeurées inchangées et que le motif de la suppression de la rente réside uniquement dans une nouvelle appréciation du cas, il n'y a pas matière à révision. Un motif de révision au sens de l' art. 17 LPGA devait ressortir clairement du dossier, ce qui, au vu des conclusions de l'expertise judiciaire, n'était manifestement pas le cas.</w:t>
      </w:r>
    </w:p>
    <w:p>
      <w:r>
        <w:rPr>
          <w:b/>
        </w:rPr>
        <w:t>E. 3.2</w:t>
      </w:r>
    </w:p>
    <w:p>
      <w:r>
        <w:t>L'office recourant reproche à la juridiction cantonale d'avoir procédé à une constatation manifestement inexacte des faits pertinents consécutive à une mauvaise appréciation des preuves et, partant, d'avoir violé le droit fédéral, en reconnaissant pleine valeur probante au volet psychiatrique de l'expertise judiciaire et en écartant sans raison valable l'expertise réalisée par le docteur B.________.</w:t>
      </w:r>
    </w:p>
    <w:p>
      <w:r>
        <w:rPr>
          <w:b/>
        </w:rPr>
        <w:t>E. 4.1</w:t>
      </w:r>
    </w:p>
    <w:p>
      <w:r>
        <w:t>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 ATF 125 V 351 consid. 3a p. 352; 1 V 157 consid. 1c p. 160 et les références).</w:t>
      </w:r>
    </w:p>
    <w:p>
      <w:r>
        <w:rPr>
          <w:b/>
        </w:rPr>
        <w:t>E. 4.2</w:t>
      </w:r>
    </w:p>
    <w:p>
      <w:r>
        <w:t>En principe, le juge ne s'écarte pas sans motifs impérieux des conclusions d'une expertise médicale judiciaire, la tâche de l'expert étant précisément de mettre ses connaissances spéciales à la disposition de la justice afin de l'éclairer sur les aspects médicaux d'un état de fait donné. Selon la jurisprudence, peut notamment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 ATF 125 V 351 consid. 3b/aa p. 352 et les références).</w:t>
      </w:r>
    </w:p>
    <w:p>
      <w:r>
        <w:rPr>
          <w:b/>
        </w:rPr>
        <w:t>E. 5</w:t>
      </w:r>
    </w:p>
    <w:p>
      <w:r>
        <w:t>En substance, le litige porte sur le point de savoir si les éléments médicaux sur lesquels s'est fondée la juridiction cantonale étaient suffisants pour statuer sur les effets des troubles psychiques affectant l'intimée sur sa capacité de travail et de gain, étant précisé qu'il n'est pas contesté que la situation sur le plan somatique n'a aucune influence sur le sort de la cause.</w:t>
      </w:r>
    </w:p>
    <w:p>
      <w:r>
        <w:rPr>
          <w:b/>
        </w:rPr>
        <w:t>E. 5.1</w:t>
      </w:r>
    </w:p>
    <w:p>
      <w:r>
        <w:t>A l'appui de son recours, l'office recourant formule un certain nombre de reproches à l'encontre du volet psychiatrique de l'expertise de la Clinique C.________ qui se révèlent être bien fondés. Comme le met en évidence ledit office, les observations cliniques rapportées par le docteur D.________ sont particulièrement ténues et consistent pour l'essentiel en une énumération des plaintes subjectives rapportées par l'intimée; la plupart des symptômes mentionnés (fatigabilité, diminution de la concentration, perte d'envie et d'élan vital) ne sont ainsi pas le fait d'observations que l'expert aurait personnellement faites. En l'absence d'explications circonstanciées, il n'est par ailleurs pas possible de comprendre les diagnostics retenus et l'absence de capacité résiduelle de travail. Plus généralement, il convient de constater que les conclusions auxquelles aboutit le docteur D.________, en tant qu'elles sont exposées de façon péremptoire, ne procèdent pas d'une discussion générale, où auraient été intégrés, dans une analyse cohérente et complète, les renseignements issus du dossier (dont notamment l'expertise du docteur B.________), l'anamnèse, les indications subjectives et l'observation clinique. Pour l'ensemble de ces motifs, il convient de dénier toute valeur probante au volet psychiatre de l'expertise réalisée auprès de la Clinique C.________.</w:t>
      </w:r>
    </w:p>
    <w:p>
      <w:r>
        <w:rPr>
          <w:b/>
        </w:rPr>
        <w:t>E. 5.2</w:t>
      </w:r>
    </w:p>
    <w:p>
      <w:r>
        <w:t>Cela étant constaté, on ne saurait pour autant suivre les conclusions de l'expertise établie par le docteur B.________. La juridiction cantonale a estimé que les avis exprimés par les médecins traitants de l'intimée au cours des audiences tenues dans le cadre de la procédure cantonale, s'agissant notamment de l'influence que pouvaient avoir les troubles de la personnalité sur le fonctionnement de l'intimée, étaient suffisants pour jeter un doute quant au bien-fondé des conclusions prises par le docteur B.________. Dans ces conditions, la simple référence aux qualités formelles de l'expertise du docteur B.________ ne saurait permettre, faute de critiques précises dirigées contre l'argumentation de la juridiction cantonale, de remettre en cause sa décision de compléter l'instruction du dossier en requérant la mise en oeuvre (notamment) d'une expertise psychiatrique.</w:t>
      </w:r>
    </w:p>
    <w:p>
      <w:r>
        <w:rPr>
          <w:b/>
        </w:rPr>
        <w:t>E. 5.3</w:t>
      </w:r>
    </w:p>
    <w:p>
      <w:r>
        <w:t>Au regard de l'absence de valeur probante du volet psychiatrique de l'expertise réalisée auprès de la Clinique C.________ et des doutes subsistant quant au bien-fondé des conclusions prises par le docteur B.________, il y a lieu d'annuler le jugement entrepris et de renvoyer la cause à la juridiction cantonale pour qu'elle en complète l'instruction en mettant en oeuvre une nouvelle expertise psychiatrique et rende une nouvelle décision relative à la révision du droit à la rente de l'intimée.</w:t>
      </w:r>
    </w:p>
    <w:p>
      <w:r>
        <w:rPr>
          <w:b/>
        </w:rPr>
        <w:t>E. 6</w:t>
      </w:r>
    </w:p>
    <w:p>
      <w:r>
        <w:t>Compte tenu de l'issue du litige, les frais de la procédure sont mis à la charge de l'intimée, qui succombe (art. 66 al. 1 en corrélation avec l' art. 65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