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9C_104/2010 vom 27. Juli 2010</w:t>
      </w:r>
    </w:p>
    <w:p>
      <w:r>
        <w:t>Bundesgericht, 2010-07-27, FR</w:t>
      </w:r>
    </w:p>
    <w:p>
      <w:r>
        <w:rPr>
          <w:b/>
        </w:rPr>
        <w:t xml:space="preserve">Quelle: </w:t>
      </w:r>
      <w:r>
        <w:t>https://mcp.opencaselaw.ch/entscheid/bger_9C_104_2010</w:t>
      </w:r>
    </w:p>
    <w:p>
      <w:r>
        <w:t>FR: TF 9C_104/2010 du 27 juillet 2010</w:t>
      </w:r>
    </w:p>
    <w:p>
      <w:r>
        <w:t>IT: TF 9C_104/2010 del 27 luglio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jugement entrepris expose correctement les dispositions légales et la jurisprudence applicables en matière d'évaluation de l'invalidité et de révision de la rente, de sorte qu'il suffit d'y renvoyer.</w:t>
      </w:r>
    </w:p>
    <w:p>
      <w:r>
        <w:rPr>
          <w:b/>
        </w:rPr>
        <w:t>E. 3.1</w:t>
      </w:r>
    </w:p>
    <w:p>
      <w:r>
        <w:t>Dans une première série de griefs, le recourant invoque une constatation manifestement inexacte des faits pertinents, consécutive à une mauvaise appréciation des preuves. Il fait notamment grief à la juridiction cantonale d'avoir privilégié les conclusions du rapport établi par le docteur G.________, médecin-conseil de l'assurance-invalidité, au détriment des points de vue émis par ses médecins traitants. Il estime par ailleurs que l'évaluation du médecin du SMR ne procéderait en réalité que d'une appréciation différente d'une situation restée inchangée sur le plan de la capacité de travail.</w:t>
      </w:r>
    </w:p>
    <w:p>
      <w:r>
        <w:rPr>
          <w:b/>
        </w:rPr>
        <w:t>E. 3.2</w:t>
      </w:r>
    </w:p>
    <w:p>
      <w:r>
        <w:t>Le recourant ne parvient pas à établir le caractère manifestement inexact, voire insoutenable, du raisonnement ayant conduit les premiers juges à privilégier les conclusions du rapport établi par le docteur G.________ aux avis exprimés par ses médecins traitants.</w:t>
      </w:r>
    </w:p>
    <w:p>
      <w:r>
        <w:rPr>
          <w:b/>
        </w:rPr>
        <w:t>E. 3.2.1</w:t>
      </w:r>
    </w:p>
    <w:p>
      <w:r>
        <w:t>Les critiques formulées par le recourant ne suffisent pas à susciter un doute sur la validité du rapport du docteur G.________ et de ses conclusions. On peut certainement déplorer que la juridiction cantonale ait, de façon malheureuse, qualifié ledit rapport d'expertise, ce qu'il n'était effectivement pas. Les rapports d'examen réalisés par le SMR selon l' art. 49 al. 2 RAI ne sont pas des expertises au sens de l' art. 44 LPGA et ne sont pas soumis aux mêmes exigences formelles ( ATF 135 V 254 consid. 3.4 p. 258). Pour autant, leur valeur probatoire est comparable à celle d'expertises, dans la mesure où elles satisfont aux exigences, définies par la jurisprudence, qui sont posées à une expertise médicale (arrêt 9C_204/2009 du 6 juillet 2009 consid. 3.3.2 et les références, passage non publié in ATF 135 V 254 ). En l'occurrence, les conclusions rendues par le docteur G.________ résultent d'une analyse complète et objective de la situation médicale et des plaintes du recourant, et décrivent de manière claires ses limitations fonctionnelles actuelles. En évoquant l'existence possible d'un syndrome d'amplification des troubles, ce médecin a voulu souligner le fait que les constatations objectives résultant de l'examen clinique ne permettaient pas d'expliquer l'ampleur de la symptomatologie douloureuse. En cela, le docteur G.________ n'a nullement voulu mettre en doute la réalité de la souffrance vécue par le recourant et n'a pas formulé des accusations de simulation à son encontre, comme le soutient celui-ci dans son mémoire de recours.</w:t>
      </w:r>
    </w:p>
    <w:p>
      <w:r>
        <w:rPr>
          <w:b/>
        </w:rPr>
        <w:t>E. 3.2.2</w:t>
      </w:r>
    </w:p>
    <w:p>
      <w:r>
        <w:t>C'est en vain que le recourant tente de tirer argument de la divergence d'opinion entre le docteur G.________ et ses médecins traitants quant au degré de capacité de travail exigible. Une évaluation médicale complète ne saurait être remise en cause au seul motif qu'un ou plusieurs médecins traitants ont une opinion divergente. Pour qu'il en aille différemment, il appartient à la partie recourante de mettre en évidence des éléments objectivement vérifiables - de nature notamment clinique ou diagnostique - qui auraient été ignorés dans le cadre de l'appréciation et qui seraient suffisamment pertinents pour remettre en cause le bien-fondé du point de vue sur lequel se sont fondés les premiers juges ou établir le caractère incomplet de la documentation médicale. Le recourant ne met en évidence aucun élément dans ce sens.</w:t>
      </w:r>
    </w:p>
    <w:p>
      <w:r>
        <w:rPr>
          <w:b/>
        </w:rPr>
        <w:t>E. 3.2.3</w:t>
      </w:r>
    </w:p>
    <w:p>
      <w:r>
        <w:t>Les premiers juges ont considéré que le rapport du docteur G.________ ne constituait pas une appréciation différente de la situation. Dans la mesure où la rente avait été allouée peu après que le recourant avait subi une intervention chirurgicale, soit à un moment où l'état de santé n'était pas encore entièrement stabilisé, l'appréciation médicale à la base de la décision revêtait par conséquent un caractère ponctuel. Tel n'était plus le cas de l'évaluation du docteur G.________. Le recourant ne démontre pas le caractère arbitraire de cette appréciation.</w:t>
      </w:r>
    </w:p>
    <w:p>
      <w:r>
        <w:rPr>
          <w:b/>
        </w:rPr>
        <w:t>E. 4</w:t>
      </w:r>
    </w:p>
    <w:p>
      <w:r>
        <w:t>Dans une seconde série de griefs, le recourant reproche à la juridiction cantonale d'avoir procédé à une comparaison des revenus qui reposeraient sur des fondements arbitraires.</w:t>
      </w:r>
    </w:p>
    <w:p>
      <w:r>
        <w:rPr>
          <w:b/>
        </w:rPr>
        <w:t>E. 4.1</w:t>
      </w:r>
    </w:p>
    <w:p>
      <w:r>
        <w:t>En tant que le recourant critique le montant du revenu sans invalidité retenu par les premiers juges, le grief doit être écarté.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 ATF 129 V 222 consid. 4.3.1 p. 224 et la référence). Le recourant ne démontre pas que la juridiction cantonale a violé le droit fédéral en se fondant sur les données salariales concrètes, telles qu'elles ressortaient du questionnaire rempli par l'employeur de l'assuré. A cet égard, il ne suffit pas d'affirmer que l'institution de prévoyance a retenu un revenu sans invalidité plus élevé pour fixer le droit aux prestations de la prévoyance professionnelle pour qu'il y ait lieu de se fonder sur ce montant. En l'absence d'indices concrets établissant qu'il aurait très vraisemblablement obtenu un avancement ou une augmentation corrélative de ses revenus supérieure à l'évolution normale des salaires s'il n'était pas devenu invalide, il n'y a pas lieu de retenir pareille allégation (voir arrêt B 80/01 du 17 octobre 2003 consid. 5.2.2 et les références, résumé dans REAS 2004 p. 239).</w:t>
      </w:r>
    </w:p>
    <w:p>
      <w:r>
        <w:rPr>
          <w:b/>
        </w:rPr>
        <w:t>E. 4.2</w:t>
      </w:r>
    </w:p>
    <w:p>
      <w:r>
        <w:t>Le grief du recourant selon lequel l'abattement de 15 % appliqué sur le salaire d'invalide ne serait pas adéquat doit également être rejeté. En se limitant à présenter sa propre appréciation des circonstances personnelles et professionnelles du cas particulier, le recourant ne démontre pas en quoi l'office AI, puis la juridiction cantonale auraient commis un excès positif ou négatif de leur pouvoir d'appréciation ou auraient abusé de celui-ci (voir ATF 132 V 393 consid. 3.3 p. 399 et 126 V 75). On ne voit notamment pas, à la lumière de l'argumentation du recourant, que l'une ou l'autre circonstance pertinente aurait été ignorée ou, à tout le moins, appréciée de manière manifestement insoutenable. Il convient en particulier de souligner que les limitations fonctionnelles présentées par le recourant - somme toute communes au regard des pathologies diagnostiquées (lombosciatalgies bilatérales à prédominance gauche et cervicodorsalgies chroniques persistantes, dans le cadre de troubles statiques et dégénératifs, avec tendomyogélose en cascade du membre inférieur gauche) - ne présentent pas de spécificités telles qu'il y aurait lieu d'en tenir compte au titre de la déduction sur le salaire statistique.</w:t>
      </w:r>
    </w:p>
    <w:p>
      <w:r>
        <w:rPr>
          <w:b/>
        </w:rPr>
        <w:t>E. 5</w:t>
      </w:r>
    </w:p>
    <w:p>
      <w:r>
        <w:t>Vu l'issue du recours,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