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104/2008 vom 15. Oktober 2008</w:t>
      </w:r>
    </w:p>
    <w:p>
      <w:r>
        <w:t>Bundesgericht, 2008-10-15, FR</w:t>
      </w:r>
    </w:p>
    <w:p>
      <w:r>
        <w:rPr>
          <w:b/>
        </w:rPr>
        <w:t xml:space="preserve">Quelle: </w:t>
      </w:r>
      <w:r>
        <w:t>https://mcp.opencaselaw.ch/entscheid/bger_9C_104_2008</w:t>
      </w:r>
    </w:p>
    <w:p>
      <w:r>
        <w:t>FR: TF 9C 104/2008 du 15 octobre 2008</w:t>
      </w:r>
    </w:p>
    <w:p>
      <w:r>
        <w:t>IT: TF 9C 104/2008 del 15 ottobre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recourant reprend l'argumentation développée en première instance dans la mesure où il estime que les premiers juges n'y ont pas répondu. Il leur reproche d'abord de ne pas avoir pris en compte la péjoration définitive de sa capacité de travail causée par l'opération de la hanche et d'avoir considéré l'avis du docteur T.________ comme une appréciation exhaustive de son état de santé alors que le praticien avait été invité à s'exprimer uniquement sur la répercussion des troubles affectant l'épaule et le rachis. Cette critique n'est pas fondée. En effet, le docteur M.________ a en premier lieu attesté une incapacité totale de travail d'une durée de quatre à six mois due à l'intervention chirurgicale. Il a en outre signalé les anciens et de nouveaux diagnostics (capsulite rétractile, cervico-brachialgies). Si on excepte ces derniers, on constate que l'opinion du praticien porte avant tout sur des éléments connus dont il fait une appréciation différente de celle de ses confrères et qui, s'ils n'ont pas tous été pris en compte dans la décision (opération de la hanche notamment), l'ont été dans la décision sur opposition. Il apparaît ainsi que l'évolution calme, la récupération correcte, le bon positionnement de la prothèse et le résultat définitif satisfaisant ont confirmé le caractère temporaire de l'incapacité engendrée par l'opération de la hanche. Il apparaît également que le chirurgien s'est borné à conclure en second lieu à l'octroi d'une rente entière d'invalidité fondée sur le cumul des problèmes orthopédiques sans apporter d'éléments concrets qui puissent faire douter de la valeur des rapports médicaux concordants qui traitaient des troubles antérieurs à l'opération qu'il a pratiquée. En ce qui concerne la capsulite rétractile de l'épaule et les cervico-brachialgies, elles ont été prises en considération dans l'analyse globale effectuée par le docteur T.________ qui a non seulement fait état d'omalgies, mais aussi de lombo-pygialgies, d'insuffisance musculaire pelvienne et d'un status après spondylodèse. A ce propos, on ne saurait reprocher à la juridiction cantonale d'avoir retenu l'avis de ce praticien comme étant exhaustif dans la mesure où celle-ci l'a justement écarté - certes à tort - au motif qu'il ne traitait que des affections scapulaires et cervico-brachiales. Cela n'a toutefois pas d'incidence en l'occurrence (cf. art. 97 al. 1 in fine LTF) puisque les conclusions relatives à la capacité résiduelle de travail et aux limitations fonctionnelles concordent pour l'essentiel avec celles figurant dans les rapports sur lesquels se sont fondés les premiers juges. On ajoutera que le fait d'avoir procédé à une analyse globale de la situation, alors que seule une appréciation de l'influence des troubles affectant les membres supérieurs était requise, ne saurait rendre le rapport du docteur T.________ sans valeur. Au contraire, cette approche générale est d'autant plus pertinente qu'elle a permis de confirmer ce qui était connu tout en apportant des précisions quant à certains mouvements des bras qu'il fallait éviter. Le jugement cantonal n'est donc pas insoutenable au regard de ce qui précède.</w:t>
      </w:r>
    </w:p>
    <w:p>
      <w:r>
        <w:rPr>
          <w:b/>
        </w:rPr>
        <w:t>E. 3</w:t>
      </w:r>
    </w:p>
    <w:p>
      <w:r>
        <w:t>L'intéressé soutient ensuite que, dans la fixation de son taux d'invalidité, le revenu hypothétique d'invalide, arrêté par l'office intimé et confirmé par la juridiction cantonale, ne saurait en aucun cas être supérieur à celui réalisé sans atteinte à la santé. Il demande que le premier revenu (57'008 fr.) soit au moins ramené à la hauteur du second (55'500 fr.). En guise de motivation, il se contente de reprendre une jurisprudence, selon laquelle il convient de déterminer le revenu d'invalide en opérant une réduction du salaire moyen réalisable sur un marché équilibré du travail lorsqu'il y a lieu d'admettre que le revenu sans atteinte à la santé était influencé par des facteurs étrangers à l'invalidité qui ont perduré après la survenance de l'invalidité (VSI 1999 p. 246 consid. 1 p. 247 et les références [I 377/1998]), sans démontrer en quoi son dernier salaire aurait été influencé par de tels facteurs. L'argumentation suggérée par le recourant n'est pas pertinente. En effet, si on tient compte du fait que les données statistiques utilisées constituent une moyenne salariale des activités que l'intéressé est susceptible de réaliser sur tout le territoire helvétique, l'infime différence (125 fr. par mois) entre les revenus mentionnés, abstraction faite de la capacité résiduelle de 50%, démontre qu'il n'existait aucun facteur étranger à l'invalidité influençant le salaire versé à l'époque. On ajoutera que le Tribunal fédéral a récemment précisé que le revenu réalisé sans atteinte à la santé devait être nettement inférieur à la moyenne pour qu'une réduction appropriée soit réalisée sur le salaire de référence à des fins de comparaison (cf. RSAS 2008 p. 359 [9C_404/2007] consid. 2.3). On ajoutera également que dans de telles circonstances, les facteurs étrangers à l'invalidité influençant négativement le revenu d'un assuré ne peuvent être pris en considération une seconde fois s'ils l'ont déjà été dans le cadre d'un abattement effectué sur le revenu d'invalide (cf. ATF 134 V 322 ). Or, en l'occurrence, il a été tenu compte des limitations fonctionnelles liées au handicap dans l'évaluation de la capacité résiduelle de travail fixée à 50% et des facteurs mentionnés dans la réduction du revenu arrêtée à 20%. Les premiers juges n'ont donc pas violé le droit fédéral.</w:t>
      </w:r>
    </w:p>
    <w:p>
      <w:r>
        <w:rPr>
          <w:b/>
        </w:rPr>
        <w:t>E. 4</w:t>
      </w:r>
    </w:p>
    <w:p>
      <w:r>
        <w:t>Le recourant critique d'ailleurs le taux d'abattement retenu qui, selon lui, aurait dû être plus élevé en raison de l'apparition de nouvelles limitations fonctionnelles, de son âge proche de celui de la retraite, ainsi que de l'absence de formation particulière. La réduction du salaire statistique dans le cadre de la détermination du revenu hypothétique d'invalide prévue par le jurisprudence ( ATF 126 V 75 )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 pour admettre qu'en raison de différents facteurs (par exemple, limitations liées au handicap, âge, années de service) l'assuré ne peut mettre à profit sa capacité de travail sur le plan économique que dans une mesure inférieure à la moyenne ( ATF 126 V 75 consid. 5a/bb p. 79 sv.). Le juge des assurances sociales ne peut, sans motif pertinent, substituer son appréciation à celle de l'administration ( ATF 126 V 75 consid. 6 p. 81). En l'espèce, on notera que la juridiction cantonale a confirmé l'abattement de 20%, sur un maximum de 25, fixé par l'office intimé. Ce taux tient suffisamment compte des limitations fonctionnelles, nombreuses mais laissant subsister une capacité résiduelle de 50% dans un grand nombre d'activités, et de l'âge de l'intéressé, 59 ans au moment de la décision litigieuse, ce qui est encore éloigné de l'âge à partir duquel le Tribunal fédéral reconnaît généralement que ce facteur devient déterminant et nécessite une approche particulière (cf. notamment SVR 2003 IV n° 35 p. 107 [I 462/02]; arrêts 9C_849/2007 du 22 juillet 2008, 9C_612/2007 du 14 juillet 2008, I 1034/06 du 6 décembre 2007, I 61/05 du 27 juillet 2005, I 819/04 du 27 mai 2005, I 462/02 du 26 mai 2003, I 617/02 du mars 2003, I 461/01 du 4 avril 2002), de sorte qu'il n'existe aucune raison de revenir sur l'appréciation de l'office intimée. Le recours est donc en tout point mal fondé.</w:t>
      </w:r>
    </w:p>
    <w:p>
      <w:r>
        <w:rPr>
          <w:b/>
        </w:rPr>
        <w:t>E. 5</w:t>
      </w:r>
    </w:p>
    <w:p>
      <w:r>
        <w:t>La procédure est onéreuse ( art. 62 LTF ). Le recourant, qui succombe, doit en supporter les frais ( art. 66 al. 1 LTF ) et ne saurait en outre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