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1045/2012 vom 27. Dezember 2012</w:t>
      </w:r>
    </w:p>
    <w:p>
      <w:r>
        <w:t>Bundesgericht, 2012-12-27, DE</w:t>
      </w:r>
    </w:p>
    <w:p>
      <w:r>
        <w:rPr>
          <w:b/>
        </w:rPr>
        <w:t xml:space="preserve">Quelle: </w:t>
      </w:r>
      <w:r>
        <w:t>https://mcp.opencaselaw.ch/entscheid/bger_9C_1045_2012</w:t>
      </w:r>
    </w:p>
    <w:p>
      <w:r>
        <w:t>FR: TF 9C 1045/2012 du 27 décembre 2012</w:t>
      </w:r>
    </w:p>
    <w:p>
      <w:r>
        <w:t>IT: TF 9C 1045/2012 del 27 dicembre 2012</w:t>
      </w:r>
    </w:p>
    <w:p>
      <w:pPr>
        <w:pStyle w:val="Heading2"/>
      </w:pPr>
      <w:r>
        <w:t>Regeste</w:t>
      </w:r>
    </w:p>
    <w:p>
      <w:r>
        <w:t>Alters- und Hinterlassenenversicherung | Alters- und Hinterlassenenversicherung</w:t>
      </w:r>
    </w:p>
    <w:p>
      <w:pPr>
        <w:pStyle w:val="Heading2"/>
      </w:pPr>
      <w:r>
        <w:t>Volltext</w:t>
      </w:r>
    </w:p>
    <w:p>
      <w:r>
        <w:t>Bundesgericht II. sozialrechtliche Abteilung 27.12.2012 9C 1045/2012 (9C_1045/2012) Tribunal fédéral IIe Cour de droit social 27.12.2012 9C 1045/2012 (9C_1045/2012) Tribunale federale II Corte di diritto sociale 27.12.2012 9C 1045/2012 (9C_1045/2012)</w:t>
      </w:r>
    </w:p>
    <w:p>
      <w:r>
        <w:t>Alters- und Hinterlassenenversicherung | Alters- und Hinterlassenenversicherung</w:t>
      </w:r>
    </w:p>
    <w:p>
      <w:r>
        <w:t>Bundesgericht Tribunal fédéral Tribunale federale Tribunal federal {T 0/2} 9C_1045/2012 Urteil vom 27. Dezember 2012 II. sozialrechtliche Abteilung Besetzung Bundesrichter U. Meyer, Präsident, Gerichtsschreiber Nussbaumer. Verfahrensbeteiligte U.________, Beschwerdeführer, gegen Schweizerische Ausgleichskasse, Beschwerdegegnerin. Gegenstand Alters- und Hinterlassenenversicherung, Beschwerde gegen die Zwischenverfügung des Bundesverwaltungsgerichts vom 14. November 2012. Nach Einsicht in die Zwischenverfügung vom 14. November 2012, mit welcher das Bundesverwaltungsgericht in der Sache C-5384/2011 den Antrag auf Wiedereröffnung des Schriftenwechsels abgewiesen hat, die Eingabe vom 17. Dezember 2012 (Poststempel), in welcher der Beschwerdeführer an erster Stelle (1.) den Antrag auf Wiedereröffnung des Schriftenwechsels im vorinstanzlich anhängigen Verfahren stellt, in Erwägung dass, die angefochtene Verfügung einen Schritt auf dem Weg zum Urteil in der anhängigen Hauptsache und somit einen Zwischenentscheid darstellt, der nur unter den Voraussetzungen des Art. 93 BGG beschwerdeweise an das Bundesgericht weitergezogen werden kann, wobei der Eintretensgrund nach Abs. 1 lit. b dieser Bestimmung von vornherein ausser Betracht fällt, entgegen der vom Beschwerdeführer vertretenen Auffassung, ein nicht wieder gutzumachender Nachteil ( Art. 93 Abs. 1 lit. a BGG ) nicht auszumachen ist, weil seine Gehörs- und Äusserungsrechte im Prozess vor dem Bundesverwaltungsgericht auch ohne förmliche Wiedereröffnung des Schriftenwechsels integral gewahrt werden können, wie sich allein schon aus den Vorbringen sub Ziff. 2. und 3. der Eingabe vom 17. Dezember 2012 und den dort aufgezeigten Vorgehensmöglichkeiten ergibt, die Beschwerde somit offensichtlich unzulässig ist ( Art. 108 Abs. 1 lit. a BGG ), auf die Erhebung von Gerichtskosten umständehalber verzichtet wird (Art. 66 Abs. 1 zweiter Satz in fine BGG), erkennt der Präsident: 1. Auf die Beschwerde wird nicht eingetreten. 2. Es werden keine Gerichtskosten erhoben. 3. Dieses Urteil wird den Parteien, dem Bundesverwaltungsgericht und dem Bundesamt für Sozialversicherungen schriftlich mitgeteilt. Luzern, 27. Dezember 2012 Im Namen der II. sozialrechtlichen Abteilung des Schweizerischen Bundesgerichts Der Präsident: Meyer Der Gerichtsschreiber: Nussbaumer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