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9C_1043/2012 vom 8. Mai 2013</w:t>
      </w:r>
    </w:p>
    <w:p>
      <w:r>
        <w:t>Bundesgericht, 2013-05-08, DE</w:t>
      </w:r>
    </w:p>
    <w:p>
      <w:r>
        <w:rPr>
          <w:b/>
        </w:rPr>
        <w:t xml:space="preserve">Quelle: </w:t>
      </w:r>
      <w:r>
        <w:t>https://mcp.opencaselaw.ch/entscheid/bger_9C_1043_2012</w:t>
      </w:r>
    </w:p>
    <w:p>
      <w:r>
        <w:t>FR: TF 9C_1043/2012 du 8 mai 2013</w:t>
      </w:r>
    </w:p>
    <w:p>
      <w:r>
        <w:t>IT: TF 9C_1043/2012 del 8 maggio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die Verfügung vom 2. Februar 2009 in Bezug auf die Statusfrage für zweifellos unrichtig gehalten und somit deren wiedererwägungsweise Aufhebung durch die IV-Stelle (vgl. Art. 53 Abs. 2 ATSG ) implizite bestätigt. Unter Verweis auf den Abklärungsbericht Haushalt vom 2. März 2011 hat sie die Versicherte als ohne gesundheitliche Beeinträchtigung zu 80 % erwerbstätig klassifiziert und die Invalidität nach der gemischten Methode ( Art. 28a Abs. 3 IVG ) bemessen.</w:t>
      </w:r>
    </w:p>
    <w:p>
      <w:r>
        <w:t>Für den Erwerbsbereich hat das kantonale Gericht gestützt auf das Gutachten des Dr. med. F.________, Facharzt für Psychiatrie und Psychotherapie, vom 29. August 2011 festgestellt, es sei weiterhin von einer 50 prozentigen Restarbeitsfähigkeit der Versicherten in angepassten Tätigkeiten auszugehen. Das Valideneinkommen hat es, ausgehend vom zuletzt tatsächlich erzielten Verdienst, auf Fr. 41'964.- festgesetzt. Für das Invalideneinkommen hat es den Tabellenlohn der Schweizerischen Lohnstrukturerhebung des Bundesamtes für Statistik (LSE) herangezogen (Tabelle TA 1, Total Frauen, Anforderungsniveau 4) und nach Berücksichtigung der betriebsüblichen Wochenarbeitszeit sowie der gesundheitlichen Einschränkung eine Parallelisierung um 6,23 % ( BGE 135 V 297 E. 5.1 S. 300 f. und E. 6.1.3 S. 304) vorgenommen. Vom resultierenden Betrag von Fr. 24'722.79 hat es 10 % abgezogen ( BGE 126 V 75 E. 5 S. 78 ff.) mit der Begründung, die Versicherte sei wegen ihrer Depression auf einen verständnisvollen Arbeitgeber angewiesen; zudem habe die IV-Stelle anlässlich der Rentenzusprechung im Februar 2009 ebenfalls einen leidensbedingten Abzug von 10 % gewährt. Somit hat das kantonale Gericht das Invalideneinkommen auf Fr. 22'250.50 festgesetzt, woraus sich ein - gewichteter - Invaliditätsgrad von (gerundet) 38 % ergibt.</w:t>
      </w:r>
    </w:p>
    <w:p>
      <w:r>
        <w:t>Was den Haushaltsbereich anbelangt, so lässt sich dem Abklärungsbericht Haushalt vom 2. März 2011 eine Einschränkung von 23 % entnehmen. Die Vorinstanz hat zwar festgestellt, dass Dr. med. F.________ und der Facharzt des Regionalen Ärztlichen Dienstes aus rein psychiatrischer Sicht eine Einschränkung in dieser Höhe nicht nachvollziehen konnten. Sie hat indessen trotzdem auf den Abklärungsbericht Haushalt abgestellt mit dem Hinweis, dass bei Verwertung der attestierten Restarbeitsfähigkeit eine volle Leistungsfähigkeit im Haushalt nicht wahrscheinlich sei. Nach entsprechender Gewichtung beträgt der Invaliditätsgrad im Haushalt 4,6 %. Bei einem resultierenden Gesamtinvaliditätsgrad von (gerundet) 43 % hat die Vorinstanz einen Anspruch auf eine Viertelsrente ( Art. 28 Abs. 2 IVG ) bejaht.</w:t>
      </w:r>
    </w:p>
    <w:p>
      <w:r>
        <w:rPr>
          <w:b/>
        </w:rPr>
        <w:t>E. 2.2</w:t>
      </w:r>
    </w:p>
    <w:p>
      <w:r>
        <w:t>Die IV-Stelle hält bei der Festsetzung des Invalideneinkommens einen Abzug vom Tabellenlohn für unzulässig. Zudem ist sie der Auffassung, für die Beeinträchtigung im Haushalt sei nicht der Abklärungsbericht, sondern die fachärztliche Einschätzung ausschlaggebend.</w:t>
      </w:r>
    </w:p>
    <w:p>
      <w:r>
        <w:rPr>
          <w:b/>
        </w:rPr>
        <w:t>E. 3.1</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t>Die Frage, ob ein Abzug vorzunehmen sei, ist eine vom Bundesgericht frei zu prüfende Rechtsfrage (vgl. BGE 137 V 71 E. 5.1 S. 72).</w:t>
      </w:r>
    </w:p>
    <w:p>
      <w:r>
        <w:rPr>
          <w:b/>
        </w:rPr>
        <w:t>E. 3.2.1</w:t>
      </w:r>
    </w:p>
    <w:p>
      <w:r>
        <w:t>Nach einer Einkommensparallelisierung fällt in der Regel lediglich ein behinderungsbedingter Abzug in Betracht, da dieselben invaliditätsfremden Faktoren nicht nochmals im Leidensabzug berücksichtigt werden ( BGE 135 V 297 E. 5.3 S. 302). 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(Urteile 9C_187/2011 vom 30. Mai 2011 E. 4.2.1; 9C_72/2009 vom 30. März 2009 E. 3.4). Eine psychisch bedingt verstärkte Rücksichtnahme seitens Vorgesetzter und Arbeitskollegen ist bisher von der Gerichtspraxis nicht als eigenständiger abzugsfähiger Umstand anerkannt worden (SVR 2010 IV Nr. 28 S. 87, 9C_708/2009 E. 2.3.2; Urteil 8C_712/2012 vom 30. November 2012 E. 4.2.1).</w:t>
      </w:r>
    </w:p>
    <w:p>
      <w:r>
        <w:rPr>
          <w:b/>
        </w:rPr>
        <w:t>E. 3.2.2</w:t>
      </w:r>
    </w:p>
    <w:p>
      <w:r>
        <w:t>Dem der Verfügung vom 2. Februar 2009 zugrunde liegenden tridisziplinären Gutachten des Universitätsspitals X.________ vom 24. Juni 2008 lässt sich entnehmen, dass der Versicherten unter rheumatologischen und neurologischen Aspekten, wie auch in gesamtmedizinischer Betrachtung, leichte und mittelschwere, wechselbelastende Tätigkeiten ohne längeres Arbeiten über Kopf zu 50 % zumutbar waren. Daran hat sich gemäss verbindlicher (E. 1) vorinstanzlicher Feststellung (E. 2.1) bis zum Erlass der Verfügung vom 23. März 2012 nichts Wesentliches verändert. Inwiefern die Beschwerdeführerin über die attestierte Arbeitsunfähigkeit hinaus in der Ausübung einer leidensadaptierten Tätigkeit eingeschränkt sein soll, ist nicht ersichtlich und wird auch nicht dargelegt. In Bezug auf das Verständnis eines allfälligen Arbeitgebers sind keine Gründe für eine Änderung der Rechtsprechung ( BGE 136 III 6 E. 3 S. 8 ; 135 I 79 E. 3 S. 82; 134 V 72 E. 3.3 S. 76) auszumachen in dem Sinn, dass eine psychiatrische Diagnose regelmässig eine Lohnminderung begründen würde. Ein leidensbedingter Abzug ist daher grundsätzlich nicht angezeigt.</w:t>
      </w:r>
    </w:p>
    <w:p>
      <w:r>
        <w:rPr>
          <w:b/>
        </w:rPr>
        <w:t>E. 3.3</w:t>
      </w:r>
    </w:p>
    <w:p>
      <w:r>
        <w:t>Der Umstand, dass die IV-Stelle in der Verfügung vom 2. Februar 2009 einen Abzug von 10 % berücksichtigte, rechtfertigt nicht, hier gleich vorzugehen. Einerseits wurde die genannte Verfügung wegen zweifelloser Unrichtigkeit wiedererwägungsweise aufgehoben (E. 2.1), was die Beschwerdegegnerin nicht beanstandet hat und mit Blick auf Art. 53 Abs. 2 ATSG als bundesrechtskonform erscheint. Anderseits ist nicht nachvollziehbar und legt die Versicherte auch nicht dar (vgl. Art. 106 Abs. 2 BGG ), weshalb es im konkreten Fall gegen das Gebot von Treu und Glauben resp. den Vertrauensgrundsatz ( Art. 9 BV ; BGE 131 II 627 E. 6.1 S. 636, E. 6.1; 131 V 472 E. 5 S. 480 f.) verstossen oder sonstwie willkürlich sein soll ( Art. 9 BV ; BGE 134 II 124 E. 4.1 S. 133 ; 133 I 149 E. 3.1 S. 153 mit Hinweisen), wenn die Verwaltung ein bestimmtes Element der Invaliditätsbemessung für die Zukunft nicht mehr unrichtig handhaben will. Schliesslich ist mit Bezug auf die von der Beschwerdegegnerin ebenfalls angerufene Rechtsgleichheit ( Art. 8 BV ) eine einheitliche Anwendung der in der Rechtsprechung entwickelten Regeln (E. 3.2.1) geradezu geboten.</w:t>
      </w:r>
    </w:p>
    <w:p>
      <w:r>
        <w:rPr>
          <w:b/>
        </w:rPr>
        <w:t>E. 3.4</w:t>
      </w:r>
    </w:p>
    <w:p>
      <w:r>
        <w:t>Bei diesem Ergebnis kann offenbleiben, ob die Vorinstanz die Invalidität im Haushalt zutreffend ermittelt hat: Wird dem Valideneinkommen von Fr. 41'964.- ein Invalideneinkommen von Fr. 24'722.79 gegenübergestellt (E. 2.1), beträgt der mit 80 % gewichtete Invaliditätsgrad im Erwerbsbereich 32,87 %. Bei unveränderter Berücksichtigung der Einschränkung im Haushalt von 4,6 % resultiert gesamthaft ein Invaliditätsgrad von höchstens 37 % (gerundet), was den Anspruch auf eine Invalidenrente ausschliesst ( Art. 28 Abs. 2 IVG ). Die Beschwerde ist begründet.</w:t>
      </w:r>
    </w:p>
    <w:p>
      <w:r>
        <w:rPr>
          <w:b/>
        </w:rPr>
        <w:t>E. 4</w:t>
      </w:r>
    </w:p>
    <w:p>
      <w:r>
        <w:t>Mit dem Urteil in der Sache wird das Gesuch um Gewährung der aufschiebenden Wirkung gegenstandslos.</w:t>
      </w:r>
    </w:p>
    <w:p>
      <w:r>
        <w:rPr>
          <w:b/>
        </w:rPr>
        <w:t>E. 5</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