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9C_1043/2008 vom 2. Juli 2009</w:t>
      </w:r>
    </w:p>
    <w:p>
      <w:r>
        <w:t>Bundesgericht, 2009-07-02, FR</w:t>
      </w:r>
    </w:p>
    <w:p>
      <w:r>
        <w:rPr>
          <w:b/>
        </w:rPr>
        <w:t xml:space="preserve">Quelle: </w:t>
      </w:r>
      <w:r>
        <w:t>https://mcp.opencaselaw.ch/entscheid/bger_9C_1043_2008</w:t>
      </w:r>
    </w:p>
    <w:p>
      <w:r>
        <w:t>FR: TF 9C_1043/2008 du 2 juillet 2009</w:t>
      </w:r>
    </w:p>
    <w:p>
      <w:r>
        <w:t>IT: TF 9C_1043/2008 del 2 luglio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question du caractère exigible de la reprise d'une activité lucrative.</w:t>
      </w:r>
    </w:p>
    <w:p>
      <w:r>
        <w:rPr>
          <w:b/>
        </w:rPr>
        <w:t>E. 2.1</w:t>
      </w:r>
    </w:p>
    <w:p>
      <w:r>
        <w:t>Le tribunal cantonal des assurances a constaté que le recourant, né le 4 octobre 1948, était âgé de 57 ans au moment déterminant où la décision sur opposition litigieuse a été rendue le 29 septembre 2006. Il avait travaillé durant plus de 30 ans en qualité de dessinateur en génie civil dans diverses entreprises, puis avait exercé, comme gain intermédiaire dans le cadre de l'assurance-chômage, l'activité de chauffeur-livreur à mi-temps. L'exercice d'une nouvelle activité professionnelle adaptée à ses limitations fonctionnelles, telle que contrôleur de qualité ou opérateur de surveillance, était possible sans nouvelle formation et présupposait des facultés d'adaptation surmontables. Compte tenu du contexte personnel et professionnel, le tribunal cantonal des assurances a conclu que le recourant était en mesure de retrouver un emploi léger et adapté à son handicap sur un marché équilibré du travail.</w:t>
      </w:r>
    </w:p>
    <w:p>
      <w:r>
        <w:rPr>
          <w:b/>
        </w:rPr>
        <w:t>E. 2.2</w:t>
      </w:r>
    </w:p>
    <w:p>
      <w:r>
        <w:t>Le recourant conteste qu'une reprise d'activité soit possible, même dans un emploi adapté, compte tenu de son âge avancé qui le rend non attractif pour un éventuel employeur. Il estime que la juridiction cantonale aurait dû s'inspirer de l'arrêt 9C_612/2007 du 14 juillet 2008, où le Tribunal fédéral n'avait pas considéré comme exigible la reprise d'une activité lucrative de la part d'un assuré âgé de 60 ans.</w:t>
      </w:r>
    </w:p>
    <w:p>
      <w:r>
        <w:rPr>
          <w:b/>
        </w:rPr>
        <w:t>E. 3.1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w:t>
      </w:r>
    </w:p>
    <w:p>
      <w:r>
        <w:rPr>
          <w:b/>
        </w:rPr>
        <w:t>E. 3.2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mai 2009 consid. 4 et I 819/04 du 27 mai 2005 consid. 2.2 et les références).</w:t>
      </w:r>
    </w:p>
    <w:p>
      <w:r>
        <w:rPr>
          <w:b/>
        </w:rPr>
        <w:t>E. 3.3</w:t>
      </w:r>
    </w:p>
    <w:p>
      <w:r>
        <w:t>Dans le cas particulier, le tribunal cantonal des assurances a appliqué de manière correcte la jurisprudence du Tribunal fédéral et, partant, n'a pas violé le droit fédéral. Compte tenu du contexte personnel et professionnel, la mise en valeur par le recourant d'une capacité de travail de 100 % dans une activité adaptée à son état de santé est en effet objectivement exigible. Âgé de 58 ans au moment de la décision litigieuse, il n'avait pas encore atteint l'âge à partir duquel la jurisprudence considère généralement qu'il n'existe plus de possibilité réaliste de mise en valeur de la capacité résiduelle de travail sur un marché du travail supposé équilibré. A cet égard, la référence à l'arrêt 9C_612/2007 du 14 juillet 2008 n'est pas pertinente, dès lors que cette affaire concernait un assuré âgé de 61 ans et 5 mois au moment de la décision litigieuse. Malgré l'importance des limitations fonctionnelles, l'instruction menée par l'office AI a permis d'établir l'existence d'un certain nombre d'activités qui demeuraient accessibles sans aucune formation particulière. Le recourant ne prétend d'ailleurs pas que les activités mentionnées par l'office AI seraient inexistantes sur le marché général du travail ou qu'elles ne seraient pas adaptées à son handicap.</w:t>
      </w:r>
    </w:p>
    <w:p>
      <w:r>
        <w:rPr>
          <w:b/>
        </w:rPr>
        <w:t>E. 4</w:t>
      </w:r>
    </w:p>
    <w:p>
      <w:r>
        <w:t>Pour le reste, les termes de la comparaison des revenus effectuée par le tribunal cantonal des assurances n'étant pas contestés, le jugement entrepris ne peut ainsi qu'être confirmé.</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