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103/2023 vom 17. März 2023</w:t>
      </w:r>
    </w:p>
    <w:p>
      <w:r>
        <w:t>Bundesgericht, 2023-03-17, FR</w:t>
      </w:r>
    </w:p>
    <w:p>
      <w:r>
        <w:rPr>
          <w:b/>
        </w:rPr>
        <w:t xml:space="preserve">Quelle: </w:t>
      </w:r>
      <w:r>
        <w:t>https://mcp.opencaselaw.ch/entscheid/bger_9C_103_2023</w:t>
      </w:r>
    </w:p>
    <w:p>
      <w:r>
        <w:t>FR: TF 9C 103/2023 du 17 mars 2023</w:t>
      </w:r>
    </w:p>
    <w:p>
      <w:r>
        <w:t>IT: TF 9C 103/2023 del 17 marzo 2023</w:t>
      </w:r>
    </w:p>
    <w:p>
      <w:pPr>
        <w:pStyle w:val="Heading2"/>
      </w:pPr>
      <w:r>
        <w:t>Regeste</w:t>
      </w:r>
    </w:p>
    <w:p>
      <w:r>
        <w:t>Taxe d'exemption de l'obligation de servir, période fiscale 2018 (retrait du recours) | Finances publiques &amp; droit fiscal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 de 300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parties, à la Commission cantonale de recours en matière fiscale du canton du Valais et à l'Administration fédérale des contributions. Lucerne, le 17 mars 2023 Au nom de la IIIe Cour de droit public du Tribunal fédéral suisse La Juge unique : Moser-Szeless 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