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9C_1037/2010 vom 10. Oktober 2011</w:t>
      </w:r>
    </w:p>
    <w:p>
      <w:r>
        <w:t>Bundesgericht, 2011-10-10, DE</w:t>
      </w:r>
    </w:p>
    <w:p>
      <w:r>
        <w:rPr>
          <w:b/>
        </w:rPr>
        <w:t xml:space="preserve">Quelle: </w:t>
      </w:r>
      <w:r>
        <w:t>https://mcp.opencaselaw.ch/entscheid/bger_9C_1037_2010</w:t>
      </w:r>
    </w:p>
    <w:p>
      <w:r>
        <w:t>FR: TF 9C_1037/2010 du 10 octobre 2011</w:t>
      </w:r>
    </w:p>
    <w:p>
      <w:r>
        <w:t>IT: TF 9C_1037/2010 del 10 ottobre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ist der Anspruch auf Leistungen der Invalidenversicherung, insbesondere eine Rente. Im angefochtenen Entscheid werden die für die Beurteilung massgebenden Rechtsgrundlagen und die dazu ergangene Judikatur zutreffend dargelegt. Darauf wird verwiesen.</w:t>
      </w:r>
    </w:p>
    <w:p>
      <w:r>
        <w:rPr>
          <w:b/>
        </w:rPr>
        <w:t>E. 3</w:t>
      </w:r>
    </w:p>
    <w:p>
      <w:r>
        <w:t>Es wird gerügt, das durchgeführte medizinische Abklärungsverfahren verstosse gegen das Recht auf ein faires Verfahren ( Art. 6 EMRK ). Der Sachverhalt sei nicht korrekt abgeklärt worden. Soweit der Beschwerdeführer damit unter Hinweis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in grundsätzlicher Hinsicht die Unabhängigkeit des medizinischen Instituts Y.________ in Frage stellt, sei auf BGE 136 V 376 verwiesen, in welchem Urteil sich das Bundesgericht mit der Beweistauglichkeit von Administrativgutachten der Medizinischen Abklärungsstellen (MEDAS) unter den Aspekten Unabhängigkeit, Verfahrensfairness und Waffengleichheit einlässlich auseinandergesetzt hat. Zu Weiterungen besteht aus der Sicht des inzwischen ergangenen Urteils BGE 137 V 210 kein Anlass. Die vorhandenen medizinischen Berichte und Gutachten sind weiterhin als beweiskräftig zu betrachten und kommen als Grundlage für eine abschliessende Beurteilung immer noch in Frage (erwähntes Urteil BGE 137 V 210 E. 6 S. 266). Doch ist im Einzelfall unter Berücksichtigung aller spezifischer Umstände zu prüfen, ob auf das eingeholte MEDAS- oder sonstige Administrativgutachten abgestellt werden darf.</w:t>
      </w:r>
    </w:p>
    <w:p>
      <w:r>
        <w:rPr>
          <w:b/>
        </w:rPr>
        <w:t>E. 4</w:t>
      </w:r>
    </w:p>
    <w:p>
      <w:r>
        <w:t>Das Gutachten des medizinischen Instituts Y.________ vom 27. April 2009 entspricht grundsätzlich den von der Rechtsprechung aufgestellten Kriterien für eine beweiskräftige Expertise (vgl. BGE 134 V 231 E. 5.1 S. 232 mit Hinweis). Ab dem Zeitpunkt der Begutachtung wurde die Einschätzung einer vollzeitigen Arbeitsfähigkeit mit einer Leistungseinbusse von 20 % für körperlich leichte, adaptierte Tätigkeiten (aus neurologischer wie auch orthopädischer, psychiatrischer und internistischer Sicht) in nachvollziehbarer Weise begründet. Es überzeugt auch die Beurteilung, dass die Arbeitsfähigkeit aufgrund einer erheblichen subjektiven Krankheitsüberzeugung und einer von einer Symptomausweitung überlagerten Situation geprägt war. Das kantonale Gericht ist gestützt darauf zutreffend zum Schluss gekommen, dass beim Beschwerdeführer von einer 80-prozentigen Arbeitsfähigkeit für leidensadaptierte Tätigkeiten auszugehen war und sich weitere Abklärungen erübrigten. Die Beschwerde vermag das Gutachten inhaltlich mit keinem substanziierten Einwand anzugreifen.</w:t>
      </w:r>
    </w:p>
    <w:p>
      <w:r>
        <w:rPr>
          <w:b/>
        </w:rPr>
        <w:t>E. 5</w:t>
      </w:r>
    </w:p>
    <w:p>
      <w:r>
        <w:t>Wenn der Beschwerdeführer rügt, das Gutachten des medizinischen Instituts Y.________ leide an erheblichen formellen und materiellen Mängeln, weshalb darauf nicht abgestellt werden könne und die Vorinstanz unter diesen Umständen verpflichtet gewesen sei, den Sachverhalt selber ordnungsgemäss abzuklären oder die Sache an die Verwaltung zur weiteren Sachverhaltsabklärung zurückzuweisen, ist auf Folgendes hinzuweisen:</w:t>
      </w:r>
    </w:p>
    <w:p>
      <w:r>
        <w:rPr>
          <w:b/>
        </w:rPr>
        <w:t>E. 5.1</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Abklärungen im Sinne von Art. 43 ATSG beinhalten indessen rechtsprechungsgemäss nicht das Recht des Versicherungsträgers, eine "second opinion" zum bereits in einem Gutachten festgestellten Sachverhalt einzuholen, wenn ihm dieser nicht passt (SVR 2007 UV Nr. 33 S. 111, U 571/06 E. 4.1 u. 4.2).</w:t>
      </w:r>
    </w:p>
    <w:p>
      <w:r>
        <w:rPr>
          <w:b/>
        </w:rPr>
        <w:t>E. 5.2</w:t>
      </w:r>
    </w:p>
    <w:p>
      <w:r>
        <w:t>Der Vorwurf, die Beschwerdegegnerin habe beim medizinischen Instituts Y.________ eine "second opinion" eingeholt, weil ihr das Ergebnis der Expertise des Spitals X.________ nicht gelegen gekommen sei, ist unbegründet. Zunächst hat der Beschwerdeführer in seinen Einwänden vom 3. Dezember 2009 selber bemerkt, da Vorbehalte gegenüber dem Gutachten des Spitals X.________ bestünden, habe er bei der Unfallversicherung und der Beschwerdegegnerin interveniert und gefordert, es sei zur Überprüfung eine "second opinion" einzuholen. Die Gutachter des Spitals X.________ haben bei der Beantwortung der Frage 9 zudem selber eine Reevaluation durch einen Wirbelsäulen-Orthopäden vorgeschlagen. Wie der Arzt des Regionalen Ärztlichen Dienstes (RAD) in seiner Stellungnahme vom 11. August 2008 plausibel dargelegt hat, überzeugt die Einschätzung der Gutachter des Spitals X.________, der Beschwerdeführer sei in seiner Arbeitsfähigkeit maximal zu 50 % eingeschränkt, nicht: Wenn er sitzend regelmässig Autofahrten während mehr als drei Stunden und über mehr als 300 Kilometer zwischen A.________ und B.________ zurückzulegen in der Lage ist (Gutachten des medizinischen Instituts Y.________ vom 27. April 2009, S. 15 f.), ist nicht einsichtig, warum ihm - bei gebotenen Anpassungen des Büro-Arbeitsplatzes (z.B. Stehpult) - nicht zumutbar sein sollte, die verbliebene Arbeitsfähigkeit zu verwerten.</w:t>
      </w:r>
    </w:p>
    <w:p>
      <w:r>
        <w:rPr>
          <w:b/>
        </w:rPr>
        <w:t>E. 5.3</w:t>
      </w:r>
    </w:p>
    <w:p>
      <w:r>
        <w:t>Des Weiteren informierte die Beschwerdegegnerin den Beschwerdeführer mit Schreiben vom 12. August 2008, sie beabsichtige eine Begutachtung des medizinischen Instituts Y.________. Dem Versicherten blieb es unbenommen, sich dieser zu verweigern. Das Verhalten hätte die IV-Stelle als Verletzung der Mitwirkungspflicht qualifizieren können ( Art. 43 Abs. 3 ATSG ). Gegen eine entsprechende Verfügung hätte die versicherte Person Rechtsmittel ergreifen und darin geltend machen können, die Rechtsfolgen von Art. 43 Abs. 3 ATSG dürften nicht eintreten, weil die angeordnete Beweismassnahme ungerechtfertigt gewesen sei (vgl. Urteil 9C_548/2010 vom 10. August 2010 E. 3.3). Der Beschwerdeführer hat sich indes der Anordnung unterzogen. Die medizinischen Experten des Instituts Y.________ haben sich auch fundiert mit dem Gutachten der Unfallversicherung auseinandergesetzt.</w:t>
      </w:r>
    </w:p>
    <w:p>
      <w:r>
        <w:rPr>
          <w:b/>
        </w:rPr>
        <w:t>E. 6</w:t>
      </w:r>
    </w:p>
    <w:p>
      <w:r>
        <w:t>Dass die Beschwerdegegnerin das medizinische Institut Y.________ als MEDAS mit der Zweitbegutachtung beauftragte und nicht die Klinik Z.________, wie vom Beschwerdeführer vorgeschlagen (und von ihm auch finanziert), verletzt Bundesrecht nicht. Der Vorhalt in der Beschwerde, eine neutral und objektiv handelnde Behörde hätte von diesem Angebot Gebrauch gemacht, ist unbegründet. Im Gegenteil wäre es in verschiedener Hinsicht ganz offensichtlich problematisch, wenn die Versicherer Gutachten in Auftrag geben würden, die von Leistungsansprechern finanziert werden.</w:t>
      </w:r>
    </w:p>
    <w:p>
      <w:r>
        <w:rPr>
          <w:b/>
        </w:rPr>
        <w:t>E. 7</w:t>
      </w:r>
    </w:p>
    <w:p>
      <w:r>
        <w:t>Was die grundsätzlichen Vorbringen zur Vergabe der Begutachtungsaufträge - gerade auch verbunden mit der Problematik des Einholens eines Zweitgutachtens - betrifft, kann hier vollumfänglich auf die Ausführungen im bereits genannten BGE 137 V 210 verwiesen werden (hier z.B. auf die E. 2.4.4, 3.3.1 und 3.4.1.3).</w:t>
      </w:r>
    </w:p>
    <w:p>
      <w:r>
        <w:rPr>
          <w:b/>
        </w:rPr>
        <w:t>E. 8</w:t>
      </w:r>
    </w:p>
    <w:p>
      <w:r>
        <w:t>Bei diesem Ausgang des Verfahrens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