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1036/2009 vom 29. Januar 2010</w:t>
      </w:r>
    </w:p>
    <w:p>
      <w:r>
        <w:t>Bundesgericht, 2010-01-29, DE</w:t>
      </w:r>
    </w:p>
    <w:p>
      <w:r>
        <w:rPr>
          <w:b/>
        </w:rPr>
        <w:t xml:space="preserve">Quelle: </w:t>
      </w:r>
      <w:r>
        <w:t>https://mcp.opencaselaw.ch/entscheid/bger_9C_1036_2009</w:t>
      </w:r>
    </w:p>
    <w:p>
      <w:r>
        <w:t>FR: TF 9C 1036/2009 du 29 janvier 2010</w:t>
      </w:r>
    </w:p>
    <w:p>
      <w:r>
        <w:t>IT: TF 9C 1036/2009 del 29 gennaio 2010</w:t>
      </w:r>
    </w:p>
    <w:p>
      <w:pPr>
        <w:pStyle w:val="Heading2"/>
      </w:pPr>
      <w:r>
        <w:t>Regeste</w:t>
      </w:r>
    </w:p>
    <w:p>
      <w:r>
        <w:t>Invalidenversicherung | Invalidenversicherung</w:t>
      </w:r>
    </w:p>
    <w:p>
      <w:pPr>
        <w:pStyle w:val="Heading2"/>
      </w:pPr>
      <w:r>
        <w:t>Erwägungen</w:t>
      </w:r>
    </w:p>
    <w:p>
      <w:r>
        <w:rPr>
          <w:b/>
        </w:rPr>
        <w:t>E. 1</w:t>
      </w:r>
    </w:p>
    <w:p>
      <w:r>
        <w:t>Das kantonale Gericht hat die Bestimmungen bei Geburtsgebrechen ( Art. 13 Abs. 1 IVG ) sowie den Begriff des Geburtsgebrechens ( Art. 3 Abs. 2 ATSG ), welches den Anspruch auf medizinische Eingliederungsmassnahmen der Invalidenversicherung begründet ( Art. 13 Abs. 2 IVG in Verbindung mit der Liste im Anhang zur GgV), zutreffend dargelegt.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w:t>
      </w:r>
    </w:p>
    <w:p>
      <w:r>
        <w:rPr>
          <w:b/>
        </w:rPr>
        <w:t>E. 2</w:t>
      </w:r>
    </w:p>
    <w:p>
      <w:r>
        <w:t>Wie die Vorinstanz festgestellt hat, litt die Versicherte aufgrund von Geburtsgebrechen neben anderem unter einer frühkindlichen Fütter- und Essstörung und hatte darum grundsätzlich Anspruch auf medizinische Eingliederungsmassnahmen. Die ihr zu diesem Zweck implantierte PEG-Sonde wurde im November 2008 entfernt. Streitig und zu prüfen ist einzig, ob die Invalidenversicherung gestützt auf Art. 13 IVG im Rahmen der Sondenentwöhnung eine Psychotherapie als medizinische Massnahme zu übernehmen hat.</w:t>
      </w:r>
    </w:p>
    <w:p>
      <w:r>
        <w:rPr>
          <w:b/>
        </w:rPr>
        <w:t>E. 3</w:t>
      </w:r>
    </w:p>
    <w:p>
      <w:r>
        <w:t>Die Beschwerdeführerin rügt, die Vorinstanz habe im Hinblick auf die Geeignetheit der beantragten Psychotherapie den Sachverhalt rechtlich falsch gewürdigt. Diese Behandlung stelle keine geeignete Therapie zur Verbesserung der Sondenentwöhnung dar. Sie begründet es anhand von Lehrbuchdefinitionen zum Begriff der "Psychotherapie". Aus diesen leitet sie ab, dass bei der Versicherten eine solche gar nicht durchgeführt werden könne, da sie mental retardiert sei und bei ihr ausgeprägte Entwicklungsverzögerungen bestünden, so dass eine Psychotherapie ungeeignet sei.</w:t>
      </w:r>
    </w:p>
    <w:p>
      <w:r>
        <w:rPr>
          <w:b/>
        </w:rPr>
        <w:t>E. 4</w:t>
      </w:r>
    </w:p>
    <w:p>
      <w:r>
        <w:t>Entgegen der vorgetragenen Argumentation ging es nach der Aktenlage bei der durchgeführten Behandlung zur Sondenentwöhnung nicht um eine gewöhnliche Psychotherapie, sondern darum, die Versicherte und ihre Mutter bei der Entwöhnung von der Sondenernährung unterstützend ärztlich zu begleiten; denn es hatten sich aufgrund der Fütter- und Essstörung über die Jahre hinweg interaktive Verhaltens- und Reaktionsmuster ausgebildet, die es zu korrigieren galt. Dass diese Ziele mit ergotherapeutischen oder logopädischen Massnahmen auf Seiten der Tochter alleine nicht hätten erreicht werden können, leuchtet ein. Im gemeinsamen Einwand der Jugendmedizinischen Klinik und der Mutter gegen den Vorbescheid führte der Leitende Arzt Psychosomatik/-therapie, Dr. med. H.________, am 16. März 2009 aus, die Versicherte sei in kurzer Zeit von der Sondenernährung entwöhnt worden und zeige mittlerweile ein nahezu unauffälliges Essverhalten. Aus den Akten (und von der Beschwerdeführerin unbestritten) ergibt sich insgesamt, dass hier eine therapeutische Massnahme den Erfolg bei der Behandlung eines Geburtsgebrechens in einfacher und zweckmässiger Weise angestrebt und erreicht und somit den in Art. 2 Abs. 3 GgV gestellten Anforderungen entsprochen hat. Der Hinweis in der Beschwerde, die beantragte Psychotherapie stelle an sich keine geeignete Therapie zur Verbesserung der Sondenentwöhnung dar, zielt an den konkreten Gegebenheiten vorbei.</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