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9C_1034/2012 vom 5. April 2013</w:t>
      </w:r>
    </w:p>
    <w:p>
      <w:r>
        <w:t>Bundesgericht, 2013-04-05, DE</w:t>
      </w:r>
    </w:p>
    <w:p>
      <w:r>
        <w:rPr>
          <w:b/>
        </w:rPr>
        <w:t xml:space="preserve">Quelle: </w:t>
      </w:r>
      <w:r>
        <w:t>https://mcp.opencaselaw.ch/entscheid/bger_9C_1034_2012</w:t>
      </w:r>
    </w:p>
    <w:p>
      <w:r>
        <w:t>FR: TF 9C_1034/2012 du 5 avril 2013</w:t>
      </w:r>
    </w:p>
    <w:p>
      <w:r>
        <w:t>IT: TF 9C_1034/2012 del 5 aprile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Nach Art. 23 lit. a BVG (SR 831.40) hat Anspruch auf eine Invalidenrente aus beruflicher Vorsorge,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9C_536/2012 vom 28. Dezember 2012 E. 2.1.1; HANS-ULRICH STAUFFER, Berufliche Vorsorge, 2. Aufl. 2012, S. 333 f. N. 914; derselbe, Die berufliche Vorsorge, in: Murer/Stauffer [Hrsg.], Die Rechtsprechung des Bundesgerichts zum Sozialversicherungsrecht, 2. Aufl. 2006, S. 52 und 56; ISABELLE VETTER-SCHREIBER, Kommentar zum BVG, Zürich 2009, N. 8 zu Art. 23 BVG ).</w:t>
      </w:r>
    </w:p>
    <w:p>
      <w:r>
        <w:rPr>
          <w:b/>
        </w:rPr>
        <w:t>E. 2.1.2</w:t>
      </w:r>
    </w:p>
    <w:p>
      <w:r>
        <w:t>Die Arbeitsunfähigkeit ist relevant, wenn sie mindestens 20 % beträgt (Urteil 9C_772/2007 vom 26. Februar 2008 E. 3.2; Urteil des Eidg. Versicherungsgerichts B 48/97 vom 7. Oktober 1998 E. 1) und sich auf das Arbeitsverhältnis sinnfällig auswirkt oder ausgewirkt hat. Es muss arbeitsrechtlich in Erscheinung treten, dass die versicherte Person im bisherigen Beruf ( BGE 134 V 20 E. 5.3 S. 27)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S. 360; 125 V 146 E. 2c S. 150 mit Hinweisen; Plädoyer 2009/6 S. 68, 9C_717/2009 E. 3.3; Urteil 8C_635/2012 vom 11. Februar 2013 E. 2, je mit Hinweisen) echtzeitlich nachgewiesen sein. Dieser Nachweis darf nicht durch nachträgliche Annahmen und spekulative Überlegungen ersetzt werden (Urteile 9C_273/2012 vom 20. November 2012 E. 4.1.1; 9C_368/2008 vom 11. September 2008 E. 2).</w:t>
      </w:r>
    </w:p>
    <w:p>
      <w:r>
        <w:rPr>
          <w:b/>
        </w:rPr>
        <w:t>E. 2.2.1</w:t>
      </w:r>
    </w:p>
    <w:p>
      <w:r>
        <w:t>Vorinstanzliche Feststellungen zur Art des Gesundheitsschadens (Befund, Diagnose etc.) und zur Arbeitsfähigkeit, die Ergebnis einer Beweiswürdigung sind, sind für das Bundesgericht grundsätzlich bindend (E. 1; vgl. BGE 132 V 393 E. 3.2 S. 397).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 9C_670/2010 vom 23. Dezember 2010 E. 1.2).</w:t>
      </w:r>
    </w:p>
    <w:p>
      <w:r>
        <w:rPr>
          <w:b/>
        </w:rPr>
        <w:t>E. 2.2.2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3.1</w:t>
      </w:r>
    </w:p>
    <w:p>
      <w:r>
        <w:t>Es steht fest, dass die Versicherte an einem invalidisierenden Gesundheitsschaden leidet und ihr deswegen spätestens seit 22. Juni 2007 die bisherige Tätigkeit nicht mehr zumutbar ist. Ferner werden der Invaliditätsgrad von 100 resp. 87 % und der allfällige Rentenbeginn (vgl. Art. 26 Abs. 1 BVG ; vgl. BGE 129 V 73 E. 4.2.2 S. 76; SVR 2011 BVG Nr. 12 S. 44, 9C_693/2009 E. 5.1) nicht in Abrede gestellt. Streitig und zu prüfen ist die Leistungspflicht der Pensionskasse nur mit Blick auf den Zeitpunkt, in welchem die relevante Arbeitsunfähigkeit eintrat. Mangels Anfechtung des vorinstanzlichen Entscheids durch die Versicherte bildet lediglich der Rentenanspruch aus obligatorischer, nicht aber aus weitergehender beruflicher Vorsorge Streitgegenstand.</w:t>
      </w:r>
    </w:p>
    <w:p>
      <w:r>
        <w:rPr>
          <w:b/>
        </w:rPr>
        <w:t>E. 3.2</w:t>
      </w:r>
    </w:p>
    <w:p>
      <w:r>
        <w:t>Die Vorinstanz hat gestützt auf die medizinischen Unterlagen festgestellt, dass - abgesehen von einer knapp zweimonatigen abgestuften Arbeitsunfähigkeit im Jahr 2005 - eine länger dauernde Einschränkung der Arbeitsfähigkeit erst ab 22. Juni 2007 bescheinigt werde. Die Versicherte sei bei einer Anstellungsdauer von insgesamt drei Jahren während mehr als zwei Jahren beim Istituto S.________ tätig gewesen. Eine frühere ärztlich attestierte Arbeitsunfähigkeit von mindestens 20 % sei einzig für die Zeit vom 16. April bis 15. Mai 2000 aktenkundig. Die Versicherte habe im Jahr 2001 die Eidgenössische Maturitätsprüfung abgelegt und berufsbegleitend zur Tätigkeit beim Istituto S.________ eine Zusatzausbildung zur Heimleiterin absolviert, was einen guten Gesundheitszustand voraussetze. Durch die gleichzeitige Bewältigung des Arbeitspensums und der Ausbildung sei sie nahezu vollzeitlich ausgelastet gewesen. Somit sei die nachmalig zur Invalidität führende Arbeitsunfähigkeit während des Versicherungsverhältnisses mit der Beschwerdeführerin eingetreten.</w:t>
      </w:r>
    </w:p>
    <w:p>
      <w:r>
        <w:rPr>
          <w:b/>
        </w:rPr>
        <w:t>E. 3.3.1</w:t>
      </w:r>
    </w:p>
    <w:p>
      <w:r>
        <w:t>Entgegen der Auffassung der Beschwerdeführerin hat die Vorinstanz die Feststellung betreffend den Eintritt der massgeblichen Arbeitsunfähigkeit (E. 2.1.2) ohne Bindung (vgl. BGE 129 V 73 E. 4.2.2 S. 76; SVR 2011 BVG Nr. 12 S. 44, 9C_693/2009 E. 5.1) an den - in dieser Hinsicht nicht aussagekräftigen - Entscheid der IV-Stelle, sondern als Ergebnis freier Beweiswürdigung getroffen. Daran ändert nichts, dass im Ergebnis der festgestellte Zeitpunkt übereinstimmt mit jenem, den die IV-Stelle als Beginn des Wartejahres gemäss Art. 28 Abs. 1 lit. b IVG betrachtete. Weiter ist es bundesrechtkonform, für den Eintritt der massgeblichen Arbeitsunfähigkeit grundsätzlich auf echtzeitliche ärztliche Einschätzungen abzustellen (E. 2.1.2) und nicht auf subjektive Angaben und Auffassungen der versicherten Person, zumal solche auch nicht genügten, wenn daraus eine Leistungspflicht abgeleitet werden könnte. Zudem hat die Vorinstanz nebst den ärztlich attestierten Einschränkungen weitere Aspekte berücksichtigt, sodass diesbezüglich nicht von Willkür (vgl. E. 2.2.2) gesprochen werden kann. Ferner ist nicht von Belang, dass die Versicherte bereits seit der Kindheit resp. seit Jahren gesundheitlich beeinträchtigt ist; ausschlaggebend ist nicht ein Gesundheitsschaden an sich, sondern die daraus resultierende Einschränkung der Arbeitsfähigkeit. Sodann spielt keine Rolle, aus welchen Gründen die früheren Tätigkeiten lediglich im Teilzeitpensum ausgeübt wurden; entscheidend ist, ob die Versicherte bei Stellenantritt im Istituto S.________ und seither ununterbrochen (vgl. Art. 88a Abs. 1 IVV [SR 831.201]; BGE 134 V 20 E. 3.2.1 S. 22) in ihrer Arbeitsfähigkeit erheblich eingeschränkt war. Aus der Bestätigung der U.________ vom 20. Februar 2012 ergibt sich, dass die Beschwerdegegnerin neben ihrem Arbeitspensum im Umfang von 70 % zwischen dem 19. April 2005 und 29. Juni 2006 rund 120 Arbeitstage - d.h. durchschnittlich rund zwei Tage pro Woche - für die erfolgreich abgeschlossene Weiterbildung zur Heimleiterin aufwendete. Inwiefern schliesslich unter diesen Umständen der vorinstanzliche Verzicht auf weitere Abklärungen eine Verletzung des Untersuchungsgrundsatzes (vgl. Art. 73 Abs. BVG) darstellen und nicht in zulässiger antizipierender Beweiswürdigung ( BGE 136 I 229 E. 5.3 S. 236 ; 134 I 140 E. 5.3 S. 148; 124 V 90 E. 4b S. 94) erfolgt sein soll, ist nicht ersichtlich und wird auch nicht dargelegt.</w:t>
      </w:r>
    </w:p>
    <w:p>
      <w:r>
        <w:rPr>
          <w:b/>
        </w:rPr>
        <w:t>E. 3.3.2</w:t>
      </w:r>
    </w:p>
    <w:p>
      <w:r>
        <w:t>Nach dem Gesagten beruhen die vorinstanzlichen Feststellungen (E. 3.2) nicht auf einer Rechtsverletzung. Sie sind auch nicht offensichtlich unrichtig (E. 2.2.2), weshalb sie für das Bundesgericht verbindlich bleiben (E. 1).</w:t>
      </w:r>
    </w:p>
    <w:p>
      <w:r>
        <w:rPr>
          <w:b/>
        </w:rPr>
        <w:t>E. 3.4</w:t>
      </w:r>
    </w:p>
    <w:p>
      <w:r>
        <w:t>Schliesslich kann die Beschwerdeführerin nichts für sich ableiten, indem sie sich auf die objektive Beweislast beruft. Nachdem die Arbeitsunfähigkeit spätestens ab 22. Juni 2007 feststand, stellt die Behauptung, dass die Versicherte bereits ab Stellenantritt und seither ununterbrochen erheblich arbeitsunfähig gewesen sein soll, eine rechtsaufhebende Tatsache (vgl. Art. 8 ZGB ; AJP 2012 S. 1472, 4A_709/2011 E. 3.3) dar. Ist sie - wie hier (E. 3.3) - nicht mit überwiegender Wahrscheinlichkeit (E. 2.1.2) erstellt, hat die Pensionskasse die Folgen der Beweislosigkeit zu tragen.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