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9C_1033/2008 vom 15. Januar 2010</w:t>
      </w:r>
    </w:p>
    <w:p>
      <w:r>
        <w:t>Bundesgericht, 2010-01-15, IT</w:t>
      </w:r>
    </w:p>
    <w:p>
      <w:r>
        <w:rPr>
          <w:b/>
        </w:rPr>
        <w:t xml:space="preserve">Quelle: </w:t>
      </w:r>
      <w:r>
        <w:t>https://mcp.opencaselaw.ch/entscheid/bger_9C_1033_2008</w:t>
      </w:r>
    </w:p>
    <w:p>
      <w:r>
        <w:t>FR: TF 9C_1033/2008 du 15 janvier 2010</w:t>
      </w:r>
    </w:p>
    <w:p>
      <w:r>
        <w:t>IT: TF 9C_1033/2008 del 15 gennaio 2010</w:t>
      </w:r>
    </w:p>
    <w:p>
      <w:pPr>
        <w:pStyle w:val="Heading2"/>
      </w:pPr>
      <w:r>
        <w:t>Erwägungen</w:t>
      </w:r>
    </w:p>
    <w:p>
      <w:r>
        <w:rPr>
          <w:b/>
        </w:rPr>
        <w:t>E. 1</w:t>
      </w:r>
    </w:p>
    <w:p>
      <w:r>
        <w:t>I ricorsi di D.________ e dell'UFAS concernono fatti di ugual natura e pongono gli stessi temi di diritto materiale, per cui si giustifica la congiunzione delle cause e la pronuncia di una sola sentenza ( DTF 128 V 124 consid. 1 pag. 126 e riferimenti).</w:t>
      </w:r>
    </w:p>
    <w:p>
      <w:r>
        <w:rPr>
          <w:b/>
        </w:rPr>
        <w:t>E. 2</w:t>
      </w:r>
    </w:p>
    <w:p>
      <w:r>
        <w:t>Oggetto del contendere è la pronuncia che ha assegnato, in via di revisione, un quarto di rendita d'invalidità a partire dal 1° settembre 2007, vale a dire a partire dal primo giorno del secondo mese che è seguito alla notifica del provvedimento del 5 luglio 2007 ( art. 88bis cpv. 2 lett. a OAI ). In sostanza, mentre l'UFAS chiede la conferma della decisione amministrativa in lite, che ha soppresso, in via di revisione, la prestazione (tre quarti di rendita) riconosciuta con la decisione del 14 novembre 2005, l'assicurato domanda che la stessa continui ad essergli erogata poiché la situazione materiale non avrebbe subito modifiche.</w:t>
      </w:r>
    </w:p>
    <w:p>
      <w:r>
        <w:rPr>
          <w:b/>
        </w:rPr>
        <w:t>E. 3.1</w:t>
      </w:r>
    </w:p>
    <w:p>
      <w:r>
        <w:t>Interposti da un'autorità legittimata al ricorso in virtù di un'altra legge federale (art. 89 cpv. 2 lett. d LTF in relazione con gli art. 201 OAVS e 89 OAI), rispettivamente da una persona che ha partecipato al procedimento dinanzi all'autorità inferiore, che è particolarmente toccata dalla decisione impugnata e che ha un interesse degno di protezione al suo annullamento o alla sua modifica ( art. 89 cpv. 1 LTF ), i ricorsi, diretti contro una decisione finale ( art. 90 LTF ) pronunciata in una causa di diritto pubblico ( art. 82 lett. a LTF ) da un'autorità cantonale di ultima istanza (art. 86 cpv. 1 lett. d LTF), sono di massima ricevibili essendo stati depositati entro il termine ( art. 100 cpv. 1 LTF ) e nella forma ( art. 42 LTF ) di legge senza che si realizzi un'eccezione ai sensi dall' art. 83 LTF .</w:t>
      </w:r>
    </w:p>
    <w:p>
      <w:r>
        <w:rPr>
          <w:b/>
        </w:rPr>
        <w:t>E. 3.2</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4</w:t>
      </w:r>
    </w:p>
    <w:p>
      <w:r>
        <w:t>Nei considerandi dell'impugnata pronuncia, cui si rinvia, l'autorità giudiziaria cantonale ha già esposto le norme e i principi giurisprudenziali disciplinanti la materia, rammentando in particolare i presupposti e l'estensione del diritto alla rendita ( art. 28 cpv. 1 LAI , nella versione applicabile in concreto, in vigore fino al 31 dicembre 2007),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OAI ).</w:t>
      </w:r>
    </w:p>
    <w:p>
      <w:r>
        <w:t>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 DTF 130 V 343 consid. 3.5 pag. 349 con riferimenti). In tale contesto non si può neppure dimenticare che, conformemente al suo senso e al suo scopo, l'istituto della revisione è stato concepito per tenere conto di modifiche nella situazione personale della persona assicurata. Sono riconducibili alla situazione personale dell'assicurato, oltre agli aspetti valetudinari, anche i fattori economici se subiscono modifiche concrete. Per contro, modifiche nei soli fattori statistici non sono riconducibili a un cambiamento nel contesto concreto della persona assicurata, bensì configurano unicamente dei cambiamenti esterni che non riflettono la situazione personale di quest'ultima ( DTF 133 V 545 consid. 7.1 pag. 548; cfr. pure sentenza 9C_696/2007 del 9 novembre 2009 consid. 5.2).</w:t>
      </w:r>
    </w:p>
    <w:p>
      <w:r>
        <w:t>Va infine ricordato che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w:t>
      </w:r>
    </w:p>
    <w:p>
      <w:r>
        <w:rPr>
          <w:b/>
        </w:rPr>
        <w:t>E. 5</w:t>
      </w:r>
    </w:p>
    <w:p>
      <w:r>
        <w:t>Decisivo, nel presente contesto, è sapere se la decisione di revisione del 5 luglio 2007 fosse riconducibile, come invoca sostanzialmente l'assicurato, a un nuovo apprezzamento di una fattispecie praticamente rimasta invariata, in quanto tale irrilevante ai fini di una revisione, oppure, come ritenuto dal giudizio impugnato, a una modifica delle circostanze di fatto, in quanto tale suscettibile di giustificare una revisione (cfr. a tal proposito pure Urs Müller, Die materiellen Voraussetzungen der Rentenrevision in der Invalidenversicherung, 2003, pag. 135).</w:t>
      </w:r>
    </w:p>
    <w:p>
      <w:r>
        <w:rPr>
          <w:b/>
        </w:rPr>
        <w:t>E. 5.1</w:t>
      </w:r>
    </w:p>
    <w:p>
      <w:r>
        <w:t>Da quanto accertato in maniera vincolante dal giudice cantonale, la decisione dell'amministrazione di rivedere il diritto alla prestazione (tre quarti di rendita) riconosciuta con la decisione del 14 novembre 2005 è stata fondata sul parere del dott. B.________, condiviso dal SMR. Orbene, come risulta inequivocabilmente dagli atti, già in data 17 giugno 2005 lo specialista in reumatologia si era espresso per una capacità lavorativa del 75% in attività confacenti e rispettose dei limiti funzionali da lui descritti (cfr. sub Fatti A). Riprendendo la sua valutazione precedente sia per l'aspetto diagnostico sia per l'incidenza del danno alla salute sulla capacità lavorativa, il dott. B.________ aveva poi confermato nel giugno 2006 le sue conclusioni di fronte all'UAI, che in seguito aveva proceduto a rivedere il diritto alla rendita.</w:t>
      </w:r>
    </w:p>
    <w:p>
      <w:r>
        <w:rPr>
          <w:b/>
        </w:rPr>
        <w:t>E. 5.2</w:t>
      </w:r>
    </w:p>
    <w:p>
      <w:r>
        <w:t>Contrariamente a quanto ritenuto dalla Corte cantonale, non si può sostenibilmente affermare che lo stato di salute dell'assicurato abbia subito un miglioramento nel periodo che va dalla decisione del 14 novembre 2005 alla decisione di revisione del 5 luglio 2007. Al contrario, dal semplice confronto dei due rapporti del dott. B.________, sui quali si è fondato il giudizio dell'amministrazione per rivedere il diritto alla prestazione, risulta chiaramente che lo stato di salute è rimasto sostanzialmente invariato e stazionario. In tali condizioni, la valutazione alla base della decisione di revisione dell'UAI costituiva chiaramente un nuovo apprezzamento di una fattispecie sostanzialmente rimasta invariata, che in quanto tale non poteva rappresentare un motivo di revisione. L'amministrazione non poteva di conseguenza validamente prevalersi dell'istituto della revisione per tornare su una decisione (quella del 14 novembre 2005) che peraltro, vale la pena ricordare, per quanto accertato dalla Corte cantonale, anziché fondarsi su una valutazione specialistica, era stata rilasciata sulla base del parere espresso dal dott. A.________ in virtù di quanto indicato nel mese di gennaio 2005 dal medico curante, dott. S.________. Né sarebbero del resto realizzate le condizioni per procedere a una riconsiderazione del provvedimento ai sensi dell' art. 53 cpv. 2 LPGA (Müller, op. cit., pag. 135).</w:t>
      </w:r>
    </w:p>
    <w:p>
      <w:r>
        <w:rPr>
          <w:b/>
        </w:rPr>
        <w:t>E. 5.3</w:t>
      </w:r>
    </w:p>
    <w:p>
      <w:r>
        <w:t>Un'altra questione potrebbe invero essere quella di sapere se - come pretende l'assicurato - l'amministrazione fosse a conoscenza, al momento della decisione del 14 novembre 2005, del rapporto 17 giugno 2005 del dott. B.________ e soprattutto se l'assicurato o comunque i suoi medici curanti non avrebbero, nell'ipotesi contraria, dovuto informare l'UAI. Tuttavia, la risposta al quesito, non approfondito dalle precedenti istanze, non modificherebbe l'esito del presente giudizio, ma riguarderebbe eventualmente un altro tema, esulante dall'oggetto della lite, e più precisamente quello dell'osservanza dell'obbligo di informare (cfr. art. 77 OAI e art. 31 LPGA ) e, se del caso, di un obbligo di restituzione delle prestazioni percepite ( art. 25 LPGA ). Né può del resto essere esaminata in questa sede, in mancanza dei necessari accertamenti, l'ipotesi di una revisione processuale, peraltro nemmeno invocata dall'amministrazione.</w:t>
      </w:r>
    </w:p>
    <w:p>
      <w:r>
        <w:rPr>
          <w:b/>
        </w:rPr>
        <w:t>E. 5.4</w:t>
      </w:r>
    </w:p>
    <w:p>
      <w:r>
        <w:t>Avendo per contro confermato la decisione amministrativa, il giudizio cantonale poggia su un accertamento manifestamente errato dei fatti - poiché contraddetto dagli atti - ed è contrario all' art. 17 LPGA . In quanto tale esso non può essere tutelato e il ricorso dell'assicurato dev'essere accolto.</w:t>
      </w:r>
    </w:p>
    <w:p>
      <w:r>
        <w:rPr>
          <w:b/>
        </w:rPr>
        <w:t>E. 5.5</w:t>
      </w:r>
    </w:p>
    <w:p>
      <w:r>
        <w:t>Infine si osserva che, in mancanza di un motivo di revisione, la rendita non avrebbe nemmeno potuto essere soppressa o ridotta per il solo fatto che il reddito ipotetico da invalido, che in occasione della decisione del 14 novembre 2005 era stato stabilito in applicazione dei dati statistici relativi alle "grandi regioni" (tabella TA13) di cui all'inchiesta svizzera sulla struttura dei salari, avrebbe nuovamente, in seguito alla modifica di prassi intervenuta nel frattempo (SVR 2007 UV n. 17 pag. 56 [U 75/03]), dovuto essere determinato sulla base dei dati statistici salariali conseguibili a livello nazionale nel settore privato (tabella TA1). Il Tribunale federale ha infatti recentemente rilevato come tale modifica di prassi, da sola, non permetta all'amministrazione di sopprimere, in via di revisione o di adattamento, il diritto alla rendita (sentenza citata 9C_696/2007 consid. 5.4 e 6.4).</w:t>
      </w:r>
    </w:p>
    <w:p>
      <w:r>
        <w:t>Anche per questo motivo, dunque, il ricorso dell'UFAS, che contesta parte delle deduzioni operate dal primo giudice sul reddito base da invalido calcolato sui dati statistici salariali nazionali, non può trovare accoglimento. Ad ogni modo, per rispondere alla domanda dell'UFAS circa la possibilità e la portata di una deduzione, dal reddito base da invalido, quando il reddito da valido differisce considerevolmente dal salario statistico riconosciuto nello specifico settore economico, si osserva che il Tribunale federale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 DTF 135 V 297 ).</w:t>
      </w:r>
    </w:p>
    <w:p>
      <w:r>
        <w:rPr>
          <w:b/>
        </w:rPr>
        <w:t>E. 6</w:t>
      </w:r>
    </w:p>
    <w:p>
      <w:r>
        <w:t>Le spese giudiziarie seguono di principio la soccombenza ( art. 66 cpv. 1 LTF ). Tuttavia, all'UFAS non possono essere caricate simili spese, avendo agito nell'esercizio delle sue attribuzioni ufficiali ( art. 66 cpv. 4 LTF ; cfr. ad esempio sentenza 9C_825/2008 del 6 novembre 2008 consid. 5). Per contro l'UFAS e l'UAI rifonderanno all'assicurato, vincente in lite e patrocinato da un legale, un'indennità per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