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9C_1030/2008 vom 4. Juni 2009</w:t>
      </w:r>
    </w:p>
    <w:p>
      <w:r>
        <w:t>Bundesgericht, 2009-06-04, FR</w:t>
      </w:r>
    </w:p>
    <w:p>
      <w:r>
        <w:rPr>
          <w:b/>
        </w:rPr>
        <w:t xml:space="preserve">Quelle: </w:t>
      </w:r>
      <w:r>
        <w:t>https://mcp.opencaselaw.ch/entscheid/bger_9C_1030_2008</w:t>
      </w:r>
    </w:p>
    <w:p>
      <w:r>
        <w:t>FR: TF 9C_1030/2008 du 4 juin 2009</w:t>
      </w:r>
    </w:p>
    <w:p>
      <w:r>
        <w:t>IT: TF 9C_1030/2008 del 4 giugno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conteste l'amélioration de son état de santé psychique. Il soutient que les rapports médicaux sur lesquels se fonde la juridiction de première instance ne remplissent pas les critères relatifs à la valeur probante de tels documents et ne permettent pas d'aboutir à la constatation de l'amélioration mentionnée.</w:t>
      </w:r>
    </w:p>
    <w:p>
      <w:r>
        <w:t>Les rapports des docteurs J.________, T.________, O.________ et N.________ critiqués par l'intéressé peuvent certes sembler succincts. Il ressort néanmoins de leur contenu respectif que tous les praticiens mentionnés connaissaient l'anamnèse ainsi que les antécédents (psychiatriques et somatiques) du recourant et ont formulé leurs conclusions au terme d'un examen qu'aucun élément ne permet de qualifier d'incomplet ou de hâtif. On notera par ailleurs que tous les avis exprimés concordent en ce qui concerne l'amélioration de la situation médicale de l'intéressé sur le plan psychiatrique par rapport à celle prévalant au moment de l'octroi de la rente entière d'invalidité. En effet, les deux premiers médecins cités n'ont relevé aucun trouble psychopathologique ou symptôme anxio-dépressif puis, postérieurement à la décision litigieuse, les deux autres praticiens ont posé le diagnostic de dysthymie chronique ou de trouble dépressif épisode actuel moyen. On relèvera à cet égard que le recourant n'avance aucun élément concret qui viendrait contredire valablement la thèse de l'amélioration. Il apparaît donc que les premiers juges n'ont pas violé les principes régissant l'appréciation des preuves (cf. ATF 125 V 351 consid. 3 p. 352 ss) en aboutissant à la conclusion contestée.</w:t>
      </w:r>
    </w:p>
    <w:p>
      <w:r>
        <w:t>On ajoutera encore que l'intéressé ne saurait tirer aucun argument en sa faveur du rapport du docteur O.________ dans la mesure où ce document a été établi postérieurement à la décision litigieuse et ne porte pas sur des faits antérieurs à celle-ci (cf. arrêt du Tribunal fédéral 9C_931/2008 du 8 mai 2009 consid. 4.3 et les références). La dysthymie qui y est diagnostiquée constitue en outre une atteinte en principe surmontable par un effort de volonté raisonnable exigible de l'assuré (cf. ATF 130 V 352 consid. 2.2.1 p. 353 et les références; voir aussi arrêt du Tribunal fédéral I 649/06 du 13 mars 2007 consid. 3.3.1, in SVR 2008 IV n° 8 p. 23). Ces remarques valent également pour l'avis du docteur N.________. Le recours est donc mal fondé sur ce point.</w:t>
      </w:r>
    </w:p>
    <w:p>
      <w:r>
        <w:rPr>
          <w:b/>
        </w:rPr>
        <w:t>E. 3</w:t>
      </w:r>
    </w:p>
    <w:p>
      <w:r>
        <w:t>Le recourant reproche encore à la juridiction de première instance d'avoir procédé à une évaluation erronée de son revenu d'invalide.</w:t>
      </w:r>
    </w:p>
    <w:p>
      <w:r>
        <w:t>L'argument, selon lequel les premiers juges n'auraient pas dû extraire de l'Enquête suisse sur la structure des salaires, publiée par l'Office fédéral de la statistique, les salaires relatifs à certaines activités adaptées (dans les services collectifs et personnels, les transports terrestres, le commerce de gros et de détail, les services fournis aux entreprises) et en faire une moyenne, mais auraient dû se fonder sur le plus bas salaire réalisable dans l'un des secteurs mentionnés, ne peut être suivi dans la mesure où l'évaluation du revenu d'invalide doit reposer sur un choix large et représentatif d'activités adaptées aux handicaps de la personne assurée et pas seulement sur une seule, quand bien même celle-ci serait parfaitement adaptée (cf. arrêt du Tribunal fédéral 8C_708/2007 du 21 août 2008 consid. 5.4 et les références).</w:t>
      </w:r>
    </w:p>
    <w:p>
      <w:r>
        <w:t>De plus, même si les autorités compétentes successives n'ont pas véritablement motivé le taux d'abattement de 15% retenu, celui-ci ne semble pas infondé dès lors que, relevant du pouvoir d'appréciation de l'administration et revu par le juge de manière retenue (cf. ATF 132 V 393 consid. 3.3 p. 399), il tient compte des différents éléments qui peuvent influencer le revenu d'une activité lucrative (cf. ATF 126 V 75 consid. 5b/aa-cc p. 79 s.), à savoir les limitations fonctionnelles liées au handicap, peu nombreuses et pas totalement limitatives en l'occurrence (sans port de charges, alternance des positions), l'âge, relativement éloigné du seuil à partir duquel le Tribunal fédéral parle d'âge avancé (55 ans au moment de la décision litigieuse; cf. notamment arrêt du Tribunal fédéral 9C_612/2007 du 14 juillet 2008 consid. 5 et les références), la nationalité (espagnole) et le taux d'occupation (50%), loin d'être inexploitable sur un marché équilibré du travail. Un abattement maximal de 25% n'est pas justifié par l'éventuel manque d'intégration dû à l'origine étrangère du recourant, laquelle ne l'a d'ailleurs pas empêché de travailler depuis son arrivée en Suisse jusqu'à la survenance des ses problèmes de santé ou par un éloignement relativement long du marché du travail qui pourrait être temporairement compensé par une mesure d'accompagnement. L'argumentation développée ne démontre en outre aucunement en quoi la juridiction de première instance aurait violé le droit fédéral en abusant de son pouvoir d'appréciation. Le recours est donc mal fondé sur ce point également</w:t>
      </w:r>
    </w:p>
    <w:p>
      <w:r>
        <w:rPr>
          <w:b/>
        </w:rPr>
        <w:t>E. 4</w:t>
      </w:r>
    </w:p>
    <w:p>
      <w:r>
        <w:t>Vue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