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9C_102/2016 vom 21. März 2016</w:t>
      </w:r>
    </w:p>
    <w:p>
      <w:r>
        <w:t>Bundesgericht, 2016-03-21, DE</w:t>
      </w:r>
    </w:p>
    <w:p>
      <w:r>
        <w:rPr>
          <w:b/>
        </w:rPr>
        <w:t xml:space="preserve">Quelle: </w:t>
      </w:r>
      <w:r>
        <w:t>https://mcp.opencaselaw.ch/entscheid/bger_9C_102_2016</w:t>
      </w:r>
    </w:p>
    <w:p>
      <w:r>
        <w:t>FR: TF 9C_102/2016 du 21 mars 2016</w:t>
      </w:r>
    </w:p>
    <w:p>
      <w:r>
        <w:t>IT: TF 9C_102/2016 del 21 marzo 2016</w:t>
      </w:r>
    </w:p>
    <w:p>
      <w:pPr>
        <w:pStyle w:val="Heading2"/>
      </w:pPr>
      <w:r>
        <w:t>Erwägungen</w:t>
      </w:r>
    </w:p>
    <w:p>
      <w:r>
        <w:rPr>
          <w:b/>
        </w:rPr>
        <w:t>E. 1</w:t>
      </w:r>
    </w:p>
    <w:p>
      <w:r>
        <w:t>Streitig ist die Rechtzeitigkeit der Verwaltungsgerichtsbeschwerde vom 15. Mai 2015, wozu das kantonale Gericht die einschlägigen Rechtsgrundlagen nach Gesetz (Art. 56 Abs. 1, Art. 60 in Verbindung mit Art. 38-41 ATSG ) und Rechtsprechung (insbesondere BGE 134 V 49 ) zutreffend dargelegt hat. Darauf wird verwiesen ( Art. 109 Abs. 3 BGG ).</w:t>
      </w:r>
    </w:p>
    <w:p>
      <w:r>
        <w:rPr>
          <w:b/>
        </w:rPr>
        <w:t>E. 2</w:t>
      </w:r>
    </w:p>
    <w:p>
      <w:r>
        <w:t>Zunächst macht der Beschwerdeführer geltend, entgegen der Vorinstanz sei er nicht zur Meldung seiner neuen Adresse verpflichtet gewesen, womit die Zustellfiktion nicht greife. Dieser Einwand ist unbegründet. Wie die Vorinstanz zutreffend erkannte, ist die von der Rechtsprechung zur Zustellfiktion verlangte Voraussetzung erfüllt, wonach der Adressat mit der fraglichen Zustellung rechnen musste ( BGE 134 V 49 E. 4 i.f. S. 52), hatte der Beschwerdeführer doch gegen die Beitragsverfügung vom 24. Juni 2014 Einsprache erhoben (vgl. a.a.O. E. 5 S. 52). Folglich war er nach Treu und Glauben auch gehalten, dafür zu sorgen, dass ihm Akte der Verwaltung, die das Verfahren betreffen, zugestellt werden können. Da er dies unterliess, hat er eine an der bekannt gegebenen Adresse versuchte Zustellung als erfolgt gelten zu lassen (so bereits BGE 107 V 187 E. 2 S. 189 f.).</w:t>
      </w:r>
    </w:p>
    <w:p>
      <w:r>
        <w:t>Ferner rügt der Beschwerdeführer sinngemäss, mit dem im Kantonsblatt publizierten Hinweis "und gilt mit dem Publikationsdatum als zugestellt" sei eine vertrauensbegründende Auskunft erteilt und eine neue Rechtsmittelfrist in Gang gesetzt worden. Dem kann nicht gefolgt werden. Zwar kann sich die Rechtsmittelfrist gestützt auf den verfassungsmässigen Anspruch auf Vertrauensschutz verlängern, wenn noch vor ihrem Ende eine entsprechende vertrauensbegründende Auskunft erteilt wird (bspw. in Form einer erneuten Zustellung eines Entscheides mit vorbehaltloser Rechtsmittelbelehrung; BGE 115 Ia 12 E. 5c S. 20). Doch nach Ablauf der Rechtsmittelfrist greift der Vertrauensschutz nicht, fehlt es diesfalls an der für die Berufung auf den Vertrauensschutz vorausgesetzten nachteiligen Disposition ( BGE 118 V 190 E. 3a S. 191; Urteil 8C_374/2014 vom 13. August 2014 E. 3.4). Folglich vermag der Beschwerdeführer - weil die Rechtsmittelfrist nach den bundesrechtskonformen Erwägungen der Vorinstanz spätestens am 8. Dezember 2014 ablief und unter dem Blickwinkel des Vertrauensschutzes keine neue Rechtsmittelfrist in Gang gesetzt werden kann - aus der Publikation im Kantonsblatt vom... 2015 nichts zu seinen Gunsten abzuleiten.</w:t>
      </w:r>
    </w:p>
    <w:p>
      <w:r>
        <w:rPr>
          <w:b/>
        </w:rPr>
        <w:t>E. 3</w:t>
      </w:r>
    </w:p>
    <w:p>
      <w:r>
        <w:t>Da die Beschwerde offensichtlich unbegründet ist ( Art. 109 Abs. 2 lit. a BGG ), wird sie im vereinfachten Verfahren mit summarischer Begründung und unter Hinweis auf den kantonalen Gerichtsentscheid ( Art. 109 Abs. 3 BGG ) erledigt.</w:t>
      </w:r>
    </w:p>
    <w:p>
      <w:r>
        <w:rPr>
          <w:b/>
        </w:rPr>
        <w:t>E. 4</w:t>
      </w:r>
    </w:p>
    <w:p>
      <w:r>
        <w:t>Der unterliegende Beschwerdeführer trägt die Verfahrenskosten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