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102/2008 vom 19. Januar 2009</w:t>
      </w:r>
    </w:p>
    <w:p>
      <w:r>
        <w:t>Bundesgericht, 2009-01-19, FR</w:t>
      </w:r>
    </w:p>
    <w:p>
      <w:r>
        <w:rPr>
          <w:b/>
        </w:rPr>
        <w:t xml:space="preserve">Quelle: </w:t>
      </w:r>
      <w:r>
        <w:t>https://mcp.opencaselaw.ch/entscheid/bger_9C_102_2008</w:t>
      </w:r>
    </w:p>
    <w:p>
      <w:r>
        <w:t>FR: TF 9C 102/2008 du 19 janvier 2009</w:t>
      </w:r>
    </w:p>
    <w:p>
      <w:r>
        <w:t>IT: TF 9C 102/2008 del 19 gennaio 2009</w:t>
      </w:r>
    </w:p>
    <w:p>
      <w:pPr>
        <w:pStyle w:val="Heading2"/>
      </w:pPr>
      <w:r>
        <w:t>Regeste</w:t>
      </w:r>
    </w:p>
    <w:p>
      <w:r>
        <w:t>Assurance-invalidité | Assurance-invalidité</w:t>
      </w:r>
    </w:p>
    <w:p>
      <w:pPr>
        <w:pStyle w:val="Heading2"/>
      </w:pPr>
      <w:r>
        <w:t>Erwägungen</w:t>
      </w:r>
    </w:p>
    <w:p>
      <w:r>
        <w:rPr>
          <w:b/>
        </w:rPr>
        <w:t>E. 1</w:t>
      </w:r>
    </w:p>
    <w:p>
      <w:r>
        <w:t>Le litige porte sur le droit du recourant au versement d'une demi-rente d'invalidité au-delà du 31 juillet 2004.</w:t>
      </w:r>
    </w:p>
    <w:p>
      <w:r>
        <w:rPr>
          <w:b/>
        </w:rPr>
        <w:t>E. 2.1</w:t>
      </w:r>
    </w:p>
    <w:p>
      <w:r>
        <w:t>Le Tribunal administratif a exposé correctement les règles relatives à l'évaluation de l'invalidité du recourant, si bien qu'il suffit de renvoyer au considérant y relatif du jugement attaqué.</w:t>
      </w:r>
    </w:p>
    <w:p>
      <w:r>
        <w:rPr>
          <w:b/>
        </w:rPr>
        <w:t>E. 2.2</w:t>
      </w:r>
    </w:p>
    <w:p>
      <w:r>
        <w:t>Le recourant soutient que le taux de l'incapacité de travail de 30 %, retenu par les premiers juges à la suite des experts de l'hôpital X.________ le reconnaissant apte à travailler à 70 %, est irréaliste. Il se prévaut également de sa situation personnelle difficile.</w:t>
      </w:r>
    </w:p>
    <w:p>
      <w:r>
        <w:rPr>
          <w:b/>
        </w:rPr>
        <w:t>E. 2.3</w:t>
      </w:r>
    </w:p>
    <w:p>
      <w:r>
        <w:t>Le recourant n'allègue pas cependant et ne démontre pas non plus que la juridiction cantonale aurait constaté les faits de façon manifestement inexacte ou en violation du droit (cf. art. 97 al. 1 LTF ). Les constatations ainsi que l'appréciation de l'autorité de recours de première instance relatives à l'évolution de l'état de santé de l'assuré et de sa capacité de travail relèvent d'une question de fait ( art. 105 al. 1 LTF ; arrêt I 692/06 du 19 décembre 2006 consid. 3.1) et rien ne permet d'admettre, faute d'argumentaire pertinent, qu'elles auraient été établies de façon manifestement inexacte ( art. 105 al. 2 LTF ). Le Tribunal fédéral est donc lié par celles-ci.</w:t>
      </w:r>
    </w:p>
    <w:p>
      <w:r>
        <w:rPr>
          <w:b/>
        </w:rPr>
        <w:t>E. 2.4</w:t>
      </w:r>
    </w:p>
    <w:p>
      <w:r>
        <w:t>Quant à la suppression de la demi-rente, par voie de révision, le recourant n'indique pas non plus en quoi elle violerait le droit fédéral et les art. 28 LAI et 17 LPGA en particulier. Sur cette question de droit, ainsi que celle de la perception de frais de procédure en instance cantonale, la Cour de céans n'a aucune raison de s'écarter des solutions retenues dans le jugement attaqué, qui peuvent se baser d'une part sur l'art. 88a al. 1 première phase RAI, d'autre part sur l' art. 69 al. 1bis LAI entré en vigueur au 1er juillet 2006, d'autant moins que la motivation du recours se situe à la limite de la recevabilité ( art. 42 al. 2 LTF ).</w:t>
      </w:r>
    </w:p>
    <w:p>
      <w:r>
        <w:rPr>
          <w:b/>
        </w:rPr>
        <w:t>E. 3</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