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1021/2008 vom 28. Januar 2009</w:t>
      </w:r>
    </w:p>
    <w:p>
      <w:r>
        <w:t>Bundesgericht, 2009-01-28, DE</w:t>
      </w:r>
    </w:p>
    <w:p>
      <w:r>
        <w:rPr>
          <w:b/>
        </w:rPr>
        <w:t xml:space="preserve">Quelle: </w:t>
      </w:r>
      <w:r>
        <w:t>https://mcp.opencaselaw.ch/entscheid/bger_9C_1021_2008</w:t>
      </w:r>
    </w:p>
    <w:p>
      <w:r>
        <w:t>FR: TF 9C 1021/2008 du 28 janvier 2009</w:t>
      </w:r>
    </w:p>
    <w:p>
      <w:r>
        <w:t>IT: TF 9C 1021/2008 del 28 gennaio 2009</w:t>
      </w:r>
    </w:p>
    <w:p>
      <w:pPr>
        <w:pStyle w:val="Heading2"/>
      </w:pPr>
      <w:r>
        <w:t>Regeste</w:t>
      </w:r>
    </w:p>
    <w:p>
      <w:r>
        <w:t>Invalidenversicherung | Invalidenversicherung</w:t>
      </w:r>
    </w:p>
    <w:p>
      <w:pPr>
        <w:pStyle w:val="Heading2"/>
      </w:pPr>
      <w:r>
        <w:t>Erwägungen</w:t>
      </w:r>
    </w:p>
    <w:p>
      <w:r>
        <w:rPr>
          <w:b/>
        </w:rPr>
        <w:t>E. 1.1</w:t>
      </w:r>
    </w:p>
    <w:p>
      <w:r>
        <w:t>Dieses Verfahren betrifft eine Neuanmeldung nach vorausgegangener rechtskräftiger Rentenverweigerung (Verfügung vom 13. Oktober 2004; Art. 87 Abs. 4 in Verbindung mit Abs. 3 IVV; vgl. BGE 130 V 71 ). Streitig ist, ob der Beschwerdeführer aufgrund einer bis zum Abschluss des neuen Verwaltungsverfahrens (Verfügung vom 5. Juni 2008; BGE 131 V 242 E. 2.1 S. 243) eingetretenen Verschlechterung seines Gesundheitszustands Anspruch auf eine Rente der Invalidenversicherung erworben hat. Das kantonale Gericht hat die zur Beurteilung des Leistungsanspruchs einschlägigen Rechtsgrundlagen zutreffend dargelegt. Darauf wird verwiesen.</w:t>
      </w:r>
    </w:p>
    <w:p>
      <w:r>
        <w:rPr>
          <w:b/>
        </w:rPr>
        <w:t>E. 1.2</w:t>
      </w:r>
    </w:p>
    <w:p>
      <w:r>
        <w:t>Die Beschwerde in öffentlich-rechtlichen Angelegenheiten ( Art. 82 ff. BGG ) kann wegen Rechtsverletzung gemäss Art. 95 BGG erhoben werden.</w:t>
      </w:r>
    </w:p>
    <w:p>
      <w:r>
        <w:rPr>
          <w:b/>
        </w:rPr>
        <w:t>E. 1.2.1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1.2.2</w:t>
      </w:r>
    </w:p>
    <w:p>
      <w:r>
        <w:t>Die aufgrund von medizinischen Untersuchungen gerichtlich festgestellte Arbeitsfähigkeit ist Entscheidung über eine Tatfrage. Dazu gehört auch die Frage, in welchem Umfang eine versicherte Person vom funktionellen Leistungsvermögen und vom Vorhandensein bzw. von der Verfügbarkeit psychischer Ressourcen her eine (Rest-) 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(vgl. dazu den auch unter der Herrschaft des BGG massgebenden BGE 132 V 393 ). Tatfrage ist wiederum, ob sich eine Arbeitsfähigkeit in einem bestimmten Zeitraum rentenrevisionsrechtlich relevant (vgl. Art. 17 ATSG ; Art. 87 Abs. 3 und 4 IVV ) verändert hat. Rechtlicher Natur sind demgegenüber die - hier nicht interessierenden - Fragen, welche Vergleichszeitpunkte im Rahmen einer Neuanmeldung heranzuziehen und wie hohe Anforderungen an das Glaubhaftmachen im Sinne von Art. 87 Abs. 3 IVV zu stellen sind (Urteil I 692/06 vom 19. Dezember 2006 E. 3.1).</w:t>
      </w:r>
    </w:p>
    <w:p>
      <w:r>
        <w:rPr>
          <w:b/>
        </w:rPr>
        <w:t>E. 2.1</w:t>
      </w:r>
    </w:p>
    <w:p>
      <w:r>
        <w:t>Das kantonale Gericht gelangte nach einer ausführlichen Würdigung des medizinischen Dossiers - wie bereits die Verwaltung - zum Schluss, im Vergleich mit den medizinischen Unterlagen, welche für die Ablehnung des Rentenanspruchs im Oktober 2004 massgebend gewesen seien (Berichte der Rheumaklinik am Spital A.________ vom 14. Juni 2004 sowie des Psychiaters Dr. H.________ vom 7. August 2004), habe sich bis zum Abschluss des Neuanmeldungsverfahrens vor der IV-Stelle im Juni 2008 keine wesentliche Veränderung des Gesundheitszustands ergeben; es bestehe sowohl mit Bezug auf die körperlichen als auch auf die psychischen Befunde eine volle Arbeitsfähigkeit in einer leidensangepassten Tätigkeit. Für diese Festlegung stützt es sich vor allem auf die Administrativgutachten des Rheumatologen Dr. J.________ vom 16. Januar 2008 sowie des Psychiaters Dr. S.________ vom 20. März 2008. Beide Sachverständigen kommen aus Sicht ihres jeweiligen Zuständigkeitsbereichs zum Schluss, es bestehe kein Gesundheitsschaden, der die Leistungsfähigkeit des Versicherten auch mit Bezug auf Arbeiten vermindern würde, welche der verminderten Belastbarkeit infolge des rheumatologischen Befundes ("nicht näher spezifizierbares chronifiziertes Schmerzsyndrom im Bereiche der rechten Körperhälfte") Rechnung tragen. Der Beschwerdeführer beruft sich im Wesentlichen auf verschiedene andere Arztberichte, die seiner Auffassung nach eine Zunahme des Gesundheitsschadens belegen.</w:t>
      </w:r>
    </w:p>
    <w:p>
      <w:r>
        <w:rPr>
          <w:b/>
        </w:rPr>
        <w:t>E. 2.2</w:t>
      </w:r>
    </w:p>
    <w:p>
      <w:r>
        <w:t>Vorauszuschicken ist, dass mit Blick auf das Erfordernis einer erheblichen Änderung tatsächlicher Natur die bloss andere Beurteilung eines im Wesentlichen unverändert gebliebenen Sachverhalts revisionsrechtlich bedeutungslos ist ( BGE 115 V 308 E. 4a/bb S. 313; SVR 1996 IV Nr. 70 S. 204 E. 3a, I 124/94). Anders verhält es sich in Fällen, in denen sich ein Leiden - bei gleicher Diagnose - in seiner Intensität und in seinen Auswirkungen auf die Arbeitsfähigkeit verändert hat (Urteil I 212/03 vom 28. August 2003 E. 2.2.3), wie es etwa bei der Chronifizierung psychischer Störungen zutreffen kann (ZAK 1989 S. 265, I 345/88). Der Versicherte beanstandet zunächst, dass das kantonale Gericht die Schlussfolgerung des Gutachters Dr. S.________, es bestehe kein invalidisierendes psychisches Leiden, derjenigen der Klinik B.________ vorgezogen habe; hier wurde eine Arbeitsunfähigkeit von 50 Prozent wegen einer mittelgradigen depressiven Episode mit somatischen Symptomen und einer undifferenzierten Somatisierungsstörung attestiert (Austrittsbericht vom 11. Mai 2005). Das kantonale Gericht hat sich mit dieser Diskrepanz einlässlich auseinandergesetzt und festgehalten, das gutachtliche Abweichen von den Befunden der Klinik B.________ sei nachvollziehbar begründet. Dem ist ohne weiteres beizupflichten. Anzufügen ist, dass im Bericht der Klinik B.________ - der therapeutischen Zielsetzung des Klinikaufenthalts entsprechend - weitgehend auf der Grundlage der subjektiven Angaben des Versicherten argumentiert wird. Dementsprechend kann, anders als der Beschwerdeführer meint, aus dem Unterschied zwischen einer anderthalbstündigen gutachtlichen Untersuchung und einem dreiwöchigen Klinikaufenthalt für dessen Rechtsstandpunkt nichts hergeleitet werden, zumal ein weiterer Psychiater, welcher den Gesundheitszustand des Versicherten über längere Zeit hinweg verfolgen konnte, den Befund einer reaktiven Depression nicht mit einer Arbeitsunfähigkeit verbindet (Bericht des Dr. H.________ vom 8. September 2007). Weitere Vorbringen, wonach - sinngemäss - die vorinstanzliche Würdigung der medizinischen Entscheidungsgrundlagen beweisrechtlich unhaltbar sei, sind weder in sich noch mit Blick auf die einschlägigen vorinstanzlichen Ausführungen, auf welche an dieser Stelle wiederum verwiesen werden kann, hinreichend begründet; es ist deshalb nicht näher darauf einzugehen (vgl. Art. 42 Abs. 2 BGG ; BGE 134 II 244 ). Insgesamt ergibt sich, dass die Vorinstanz den rechtserheblichen Sachverhalt jedenfalls nicht offensichtlich unrichtig festgestellt hat. Ebenso wenig beruht die - für die Belange der Streitfrage vollständige - Sachverhaltsfeststellung auf einer Rechtsverletzung im Sinne von Art. 95 BGG (vgl. oben E. 1). Daher besteht kein Grund für die im Eventualbegehren beantragte nähere Abklärung des medizinischen Status. Ohnehin lässt es die unterschiedliche Natur von Behandlungsauftrag des therapeutisch tätigen (Fach-)Arztes einerseits und Begutachtungsauftrag des amtlich bestellten fachmedizinischen Experten anderseits ( BGE 124 I 170 E. 4 S. 175) nicht zu, ein Administrativ- oder Gerichtsgutachten stets in Frage zu stellen und zum Anlass weiterer Abklärungen zu nehmen, wenn behandelnde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44 E. 2.2.1 mit Hinweisen, I 514/06). Dies ist hier aber nicht der Fall.</w:t>
      </w:r>
    </w:p>
    <w:p>
      <w:r>
        <w:rPr>
          <w:b/>
        </w:rPr>
        <w:t>E. 3</w:t>
      </w:r>
    </w:p>
    <w:p>
      <w:r>
        <w:t>Das Vorbringen, die Verwaltung habe das auf statistische Daten gemäss Schweizerischer Lohnstrukturerhebung abgestützte Invalideneinkommen ohne Abzug (im Sinne von BGE 129 V 472 E. 4.2.3 S. 481 und 126 V 75; zur Abgrenzung von Rechts- und Ermessensfragen: Urteil 9C_382/2007 vom 13. November 2007 E. 4.1) ermittelt, ist aktenwidrig. Aus der Verfügung vom 5. Juni 2008 ist ersichtlich, dass das angerechnete Invalideneinkommen um 10 Prozent herabgesetzt worden ist.</w:t>
      </w:r>
    </w:p>
    <w:p>
      <w:r>
        <w:rPr>
          <w:b/>
        </w:rPr>
        <w:t>E. 4</w:t>
      </w:r>
    </w:p>
    <w:p>
      <w:r>
        <w:t>Die vorinstanzliche Schlussfolgerung, wonach die seitens der IV-Stelle verfügte Ablehnung des Anspruchs auf eine Invalidenrente nicht zu beanstanden sei, ist somit bundesrechtskonform; ein Invaliditätsgrad von unter 40 Prozent ist nicht rentenbegründend (Art. 28 Abs. 1 [in der bis 2007 geltenden Fassung] resp. Art. 28 Abs. 2 [in der seit 2008 geltenden Fassung] IVG).</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