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9C_101/2024 vom 21. Februar 2024</w:t>
      </w:r>
    </w:p>
    <w:p>
      <w:r>
        <w:t>Bundesgericht, 2024-02-21, FR</w:t>
      </w:r>
    </w:p>
    <w:p>
      <w:r>
        <w:rPr>
          <w:b/>
        </w:rPr>
        <w:t xml:space="preserve">Quelle: </w:t>
      </w:r>
      <w:r>
        <w:t>https://mcp.opencaselaw.ch/entscheid/bger_9C_101_2024</w:t>
      </w:r>
    </w:p>
    <w:p>
      <w:r>
        <w:t>FR: TF 9C_101/2024 du 21 février 2024</w:t>
      </w:r>
    </w:p>
    <w:p>
      <w:r>
        <w:t>IT: TF 9C_101/2024 del 21 febbraio 2024</w:t>
      </w:r>
    </w:p>
    <w:p>
      <w:pPr>
        <w:pStyle w:val="Heading2"/>
      </w:pPr>
      <w:r>
        <w:t>Volltext</w:t>
      </w:r>
    </w:p>
    <w:p>
      <w:r>
        <w:t>Bundesgericht</w:t>
      </w:r>
    </w:p>
    <w:p>
      <w:r>
        <w:t>Tribunal fédéral</w:t>
      </w:r>
    </w:p>
    <w:p>
      <w:r>
        <w:t>Tribunale federale</w:t>
      </w:r>
    </w:p>
    <w:p>
      <w:r>
        <w:t>Tribunal federal</w:t>
      </w:r>
    </w:p>
    <w:p>
      <w:r>
        <w:t>9C_101/2024</w:t>
      </w:r>
    </w:p>
    <w:p>
      <w:r>
        <w:t>Arrêt du 21 février 2024</w:t>
      </w:r>
    </w:p>
    <w:p>
      <w:r>
        <w:t>IIIe Cour de droit public</w:t>
      </w:r>
    </w:p>
    <w:p>
      <w:r>
        <w:t>Composition</w:t>
      </w:r>
    </w:p>
    <w:p>
      <w:r>
        <w:t>M. le Juge fédéral Parrino, Président.</w:t>
      </w:r>
    </w:p>
    <w:p>
      <w:r>
        <w:t>Greffier : M. Berthoud.</w:t>
      </w:r>
    </w:p>
    <w:p>
      <w:r>
        <w:t>Participants à la procédure</w:t>
      </w:r>
    </w:p>
    <w:p>
      <w:r>
        <w:t>A.________ AG,</w:t>
      </w:r>
    </w:p>
    <w:p>
      <w:r>
        <w:t>recourante,</w:t>
      </w:r>
    </w:p>
    <w:p>
      <w:r>
        <w:t>contre</w:t>
      </w:r>
    </w:p>
    <w:p>
      <w:r>
        <w:t>Administration cantonale des impôts du canton de Vaud, route de Berne 46, 1014 Lausanne,</w:t>
      </w:r>
    </w:p>
    <w:p>
      <w:r>
        <w:t>intimée.</w:t>
      </w:r>
    </w:p>
    <w:p>
      <w:r>
        <w:t>Objet</w:t>
      </w:r>
    </w:p>
    <w:p>
      <w:r>
        <w:t>Impôts cantonaux et communaux du canton de Vaud (condition de recevabilité),</w:t>
      </w:r>
    </w:p>
    <w:p>
      <w:r>
        <w:t>recours contre l'arrêt du Tribunal cantonal du canton de Vaud du 8 janvier 2024 (FI.2023.0165).</w:t>
      </w:r>
    </w:p>
    <w:p>
      <w:r>
        <w:t>Vu :</w:t>
      </w:r>
    </w:p>
    <w:p>
      <w:r>
        <w:t>le recours interjeté le 7 février 2024 (timbre postal) par A.________ AG contre l'arrêt d'irrecevabilité du Tribunal cantonal du canton de Vaud, Cour de droit administratif et public, du 8 janvier 2024,</w:t>
      </w:r>
    </w:p>
    <w:p>
      <w:r>
        <w:t>les écritures complémentaires déposées le jour suivant (timbre postal) par A.________ AG,</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w:t>
      </w:r>
    </w:p>
    <w:p>
      <w:r>
        <w:t>que l'autorité précédente n'est pas entrée en matière sur le recours en raison du défaut de paiement de l'avance de frais requise (art. 47 al. 2 et 3 de la loi cantonale vaudoise du 28 octobre 2008 sur la procédure administrative [LPA-VD; BLV 173.36]),</w:t>
      </w:r>
    </w:p>
    <w:p>
      <w:r>
        <w:t>que dans son argumentation, la recourante n'aborde pas ce point et n'indique donc pas en quoi l'acte attaqué serait contraire au droit,</w:t>
      </w:r>
    </w:p>
    <w:p>
      <w:r>
        <w:t>que le recours doit dès lors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et au Tribunal cantonal du canton de Vaud, Cour de droit administratif et public.</w:t>
      </w:r>
    </w:p>
    <w:p>
      <w:r>
        <w:t>Lucerne, le 21 février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