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9C_101/2021 vom 15. Februar 2021</w:t>
      </w:r>
    </w:p>
    <w:p>
      <w:r>
        <w:t>Bundesgericht, 2021-02-15, DE</w:t>
      </w:r>
    </w:p>
    <w:p>
      <w:r>
        <w:rPr>
          <w:b/>
        </w:rPr>
        <w:t xml:space="preserve">Quelle: </w:t>
      </w:r>
      <w:r>
        <w:t>https://mcp.opencaselaw.ch/entscheid/bger_9C_101_2021</w:t>
      </w:r>
    </w:p>
    <w:p>
      <w:r>
        <w:t>FR: TF 9C_101/2021 du 15 février 2021</w:t>
      </w:r>
    </w:p>
    <w:p>
      <w:r>
        <w:t>IT: TF 9C_101/2021 del 15 febbraio 2021</w:t>
      </w:r>
    </w:p>
    <w:p>
      <w:pPr>
        <w:pStyle w:val="Heading2"/>
      </w:pPr>
      <w:r>
        <w:t>Volltext</w:t>
      </w:r>
    </w:p>
    <w:p>
      <w:r>
        <w:t>Bundesgericht</w:t>
      </w:r>
    </w:p>
    <w:p>
      <w:r>
        <w:t>Tribunal fédéral</w:t>
      </w:r>
    </w:p>
    <w:p>
      <w:r>
        <w:t>Tribunale federale</w:t>
      </w:r>
    </w:p>
    <w:p>
      <w:r>
        <w:t>Tribunal federal</w:t>
      </w:r>
    </w:p>
    <w:p>
      <w:r>
        <w:t>9C_101/2021</w:t>
      </w:r>
    </w:p>
    <w:p>
      <w:r>
        <w:t>Urteil vom 15. Februar 2021</w:t>
      </w:r>
    </w:p>
    <w:p>
      <w:r>
        <w:t>II. sozialrechtliche Abteilung</w:t>
      </w:r>
    </w:p>
    <w:p>
      <w:r>
        <w:t>Besetzung</w:t>
      </w:r>
    </w:p>
    <w:p>
      <w:r>
        <w:t>Bundesrichter Parrino, Präsident,</w:t>
      </w:r>
    </w:p>
    <w:p>
      <w:r>
        <w:t>Gerichtsschreiberin Fleischanderl.</w:t>
      </w:r>
    </w:p>
    <w:p>
      <w:r>
        <w:t>Verfahrensbeteiligte</w:t>
      </w:r>
    </w:p>
    <w:p>
      <w:r>
        <w:t>A.________,</w:t>
      </w:r>
    </w:p>
    <w:p>
      <w:r>
        <w:t>Beschwerdeführerin,</w:t>
      </w:r>
    </w:p>
    <w:p>
      <w:r>
        <w:t>gegen</w:t>
      </w:r>
    </w:p>
    <w:p>
      <w:r>
        <w:t>Ausgleichskasse des Kantons Zürich, Röntgenstrasse 17, 8005 Zürich,</w:t>
      </w:r>
    </w:p>
    <w:p>
      <w:r>
        <w:t>Beschwerdegegnerin.</w:t>
      </w:r>
    </w:p>
    <w:p>
      <w:r>
        <w:t>Gegenstand</w:t>
      </w:r>
    </w:p>
    <w:p>
      <w:r>
        <w:t>Erwerbsersatz für Dienstleistende und bei Mutterschaft (Prozessvoraussetzung),</w:t>
      </w:r>
    </w:p>
    <w:p>
      <w:r>
        <w:t>Beschwerde gegen den Entscheid des Sozialversicherungsgerichts des Kantons Zürich</w:t>
      </w:r>
    </w:p>
    <w:p>
      <w:r>
        <w:t>vom 17. Dezember 2020 (EE.2020.00035).</w:t>
      </w:r>
    </w:p>
    <w:p>
      <w:r>
        <w:t>Nach Einsicht</w:t>
      </w:r>
    </w:p>
    <w:p>
      <w:r>
        <w:t>in die Beschwerde vom 5. Februar 2021 (Poststempel) gegen den Entscheid des Sozialversicherungsgerichts des Kantons Zürich vom 17. Dezember 2020 (betreffend Erwerbsausfallentschädigung),</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w:t>
      </w:r>
    </w:p>
    <w:p>
      <w:r>
        <w:t>dass das kantonale Gericht gestützt auf die wesentlichen rechtlichen Grundlagen, namentlich die bundesrätliche Verordnung vom 20. März 2020 über Massnahmen bei Erwerbsausfall im Zusammenhang mit dem Coronavirus (Covid-19; Covid-19-Verordnung Erwerbsausfall; SR 830.31), zum Ergebnis gelangt ist, der Beschwerdeführerin stehe als selbstständig erwerbende Psychologin mangels Erwerbsausfalls keine Entschädigung auf der Basis von Art. 2 Abs. 3 der Covid-19-Verordnung Erwerbsausfall zu,</w:t>
      </w:r>
    </w:p>
    <w:p>
      <w:r>
        <w:t>dass es ferner mangels Erreichens des hinsichtlich des AHV-pflichtigen Einkommens erheblichen Schwellenwerts von Fr. 10'000.- jährlich auch den Anspruch auf eine Erwerbsersatzentschädigung im Sinne von Art. 2 Abs. 3bis der Covid-19-Verordnung Erwerbsausfall (sog. Härtefallregelung) verneint hat,</w:t>
      </w:r>
    </w:p>
    <w:p>
      <w:r>
        <w:t>dass die Beschwerdeführerin in ihrer Eingabe nichts anführt, was darauf hindeuten würde,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w:t>
      </w:r>
    </w:p>
    <w:p>
      <w:r>
        <w:t>dass sie sich vielmehr im Wesentlichen darauf beschränkt, die ihres Erachtens unzutreffende Anwendung der Verordnungsbestimmungen auf ihren Fall zu bemängeln, ohne sich jedoch mit den Ausführungen der Vorinstanz im Einzelnen zu befassen respektive darzulegen, inwiefern diese Bundesrecht verletzen sollten,</w:t>
      </w:r>
    </w:p>
    <w:p>
      <w:r>
        <w:t>dass es damit an einer rechtsgenüglichen Auseinandersetzung mit dem kantonalen Entscheid fehlt und die Beschwerde daher den genannten inhaltlichen Mindestanforderungen nicht genügt,</w:t>
      </w:r>
    </w:p>
    <w:p>
      <w:r>
        <w:t>dass an der unzureichenden Beschwerdebegründung schliesslich die vor Bundesgericht eingereichten Unterlagen, soweit es sich dabei nicht ohnehin um unzulässige Noven im Sinne von Art. 99 Abs. 1 BGG handelt, nichts zu ändern vermögen,</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15. Februar 2021</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