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9C_101/2020 vom 13. Mai 2020</w:t>
      </w:r>
    </w:p>
    <w:p>
      <w:r>
        <w:t>Bundesgericht, 2020-05-13, DE</w:t>
      </w:r>
    </w:p>
    <w:p>
      <w:r>
        <w:rPr>
          <w:b/>
        </w:rPr>
        <w:t xml:space="preserve">Quelle: </w:t>
      </w:r>
      <w:r>
        <w:t>https://mcp.opencaselaw.ch/entscheid/bger_9C_101_2020</w:t>
      </w:r>
    </w:p>
    <w:p>
      <w:r>
        <w:t>FR: TF 9C_101/2020 du 13 mai 2020</w:t>
      </w:r>
    </w:p>
    <w:p>
      <w:r>
        <w:t>IT: TF 9C_101/2020 del 13 maggio 2020</w:t>
      </w:r>
    </w:p>
    <w:p>
      <w:pPr>
        <w:pStyle w:val="Heading2"/>
      </w:pPr>
      <w:r>
        <w:t>Erwägungen</w:t>
      </w:r>
    </w:p>
    <w:p>
      <w:r>
        <w:rPr>
          <w:b/>
        </w:rPr>
        <w:t>E. 1.1</w:t>
      </w:r>
    </w:p>
    <w:p>
      <w:r>
        <w:t>Rechtsbegehren sind nach Treu und Glauben auszulegen, insbesondere im Lichte der dazu gegebenen Begründung (vgl. statt vieler Urteil 9C_300/2019 vom 28. Oktober 2019 E. 1.2 mit Hinweis). Wiewohl im Antrag nicht ausdrücklich erwähnt, ist aus der Beschwerdebegründung offenkundig, dass die IV-Stelle mit ihrem Feststellungsbegehren die Bestätigung ihrer Verfügung vom 24. Januar 2019 zu erreichen sucht, die vor Vorinstanz den Anfechtungsgegenstand bildete. Auf die so verstandene Beschwerde ist einzutreten.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vgl. BGE 145 V 57 E. 4 S. 61 f.).</w:t>
      </w:r>
    </w:p>
    <w:p>
      <w:r>
        <w:rPr>
          <w:b/>
        </w:rPr>
        <w:t>E. 2</w:t>
      </w:r>
    </w:p>
    <w:p>
      <w:r>
        <w:t>Strittig ist, ob die Vorinstanz zu Recht den Anspruch auf eine ganze Invalidenrente ab 1. September 2018 bejahte.</w:t>
      </w:r>
    </w:p>
    <w:p>
      <w:r>
        <w:rPr>
          <w:b/>
        </w:rPr>
        <w:t>E. 2.1</w:t>
      </w:r>
    </w:p>
    <w:p>
      <w:r>
        <w:t>Das kantonale Gericht führte hierzu im Wesentlichen aus, der in der Schweiz wohnhafte A.________ sei gemäss Art. 1b IVG i.V.m. Art. 1a Abs. 1 lit. a AHVG der Invalidenversicherung unterstellt. Er erfülle die in Art. 36 Abs. 1 IVG für den Anspruch auf eine ordentliche Rente geforderte minimale Beitragsdauer von drei Jahren: Bis ins Jahr 2010 sowie in den Jahren 2014 bis 2017 seien im Auszug aus dem individuellen Konto jeweils beitragspflichtige Einkommen verzeichnet. Der Gesundheitsschaden sowie die daraus resultierende 100%ige Arbeits- und Erwerbsunfähigkeit seien unbestritten, ebenso wie der Status als - im Gesundheitsfall - voll Erwerbstätiger. Somit resultiere im Rahmen des nach Art. 16 ATSG vorzunehmenden Einkommensvergleichs ein Invaliditätsgrad von 100 %, der Anspruch auf eine ganze Rente gebe ( Art. 28 Abs. 2 IVG ).</w:t>
      </w:r>
    </w:p>
    <w:p>
      <w:r>
        <w:rPr>
          <w:b/>
        </w:rPr>
        <w:t>E. 2.2</w:t>
      </w:r>
    </w:p>
    <w:p>
      <w:r>
        <w:t>Die IV-Stelle rügt, A.________ habe 2010 die Schweiz in Richtung U.________ verlassen. Er habe dort nach eigener Aussage auf unbestimmte Zeit leben wollen und einen Freizeitpark betrieben. In der Schweiz sei er nurmehr zu 5% als Freelancer bei seinem Bruder angestellt gewesen. Wäre der Krankheitsfall nicht eingetreten, sei überwiegend wahrscheinlich, dass er weiterhin in U.________ gelebt hätte, wofür auch der Bezug des Guthabens aus der beruflichen Vorsorge spreche. Die Verwaltung ist der Auffassung, die volle Erwerbsunfähigkeit sei nur im Umfang des Erwerbsteils von 5 % in der Schweiz versichert. Für die übrigen 95 % bestehe kein Versicherungsschutz durch die schweizerische Invalidenversicherung. Trotz vollumfänglicher Erwerbsunfähigkeit resultiere demnach ein Invaliditätsgrad von 5 % und könne keine Rente gesprochen werden.</w:t>
      </w:r>
    </w:p>
    <w:p>
      <w:r>
        <w:rPr>
          <w:b/>
        </w:rPr>
        <w:t>E. 3</w:t>
      </w:r>
    </w:p>
    <w:p>
      <w:r>
        <w:t>Die Verwaltung bestreitet auch letztinstanzlich weder die vollständige Erwerbsunfähigkeit noch den Status als im Gesundheitsfall voll erwerbstätige Person. Für die Rechtsprechung gemäss BGE 142 V 290 verbleibt somit von vornherein kein Raum. Ebensowenig erweist sich die Beweiswürdigung der Vorinstanz, es sei nicht überwiegend wahrscheinlich, dass der Versicherte bei erhaltener Gesundheit weiterhin in U.________ wohnhaft gewesen wäre, als willkürlich. Es genügt nicht, seine eigene Sicht der Dinge darzulegen (vgl. Art. 106 Abs. 2 BGG ). Auf welcher rechtlichen Grundlage die Auffassung der IV-Stelle fusst, es bilde für die Bemessung des Invaliditätsgrades das zuletzt in der Schweiz geleistete Arbeitspensum von in casu 5 % eine Obergrenze, zeigt sie weder auf, noch ist es ersichtlich. Es kann deshalb hinsichtlich der Bemessung des Invaliditätsgrades ohne Weiterungen auf die Erwägungen der Vorinstanz verwiesen werden ( Art. 109 Abs. 3 BGG ). Mit dieser werden selbstredend im Rahmen der Rentenberechnung ( Art. 36 Abs. 2 IVG mit Verweis auf Art. 29 ff. AHVG ) das während des Auslandaufenthalts sehr tiefe Einkommen in der Schweiz sowie die vorhandenen Beitragslücken zu berücksichtigen sein.</w:t>
      </w:r>
    </w:p>
    <w:p>
      <w:r>
        <w:rPr>
          <w:b/>
        </w:rPr>
        <w:t>E. 4</w:t>
      </w:r>
    </w:p>
    <w:p>
      <w:r>
        <w:t>Da die Beschwerde offensichtlich unbegründet ist, wird sie im Verfahren nach Art. 109 Abs. 2 lit. a BGG mit summarischer Begründung und unter Hinweis auf den angefochtenen Entscheid ( Art. 109 Abs. 3 BGG ) erledigt.</w:t>
      </w:r>
    </w:p>
    <w:p>
      <w:r>
        <w:rPr>
          <w:b/>
        </w:rPr>
        <w:t>E. 5</w:t>
      </w:r>
    </w:p>
    <w:p>
      <w:r>
        <w:t>Dem Ausgang des Verfahrens entsprechend hat die Beschwerdeführerin die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