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9C_101/2017 vom 5. April 2017</w:t>
      </w:r>
    </w:p>
    <w:p>
      <w:r>
        <w:t>Bundesgericht, 2017-04-05, DE</w:t>
      </w:r>
    </w:p>
    <w:p>
      <w:r>
        <w:rPr>
          <w:b/>
        </w:rPr>
        <w:t xml:space="preserve">Quelle: </w:t>
      </w:r>
      <w:r>
        <w:t>https://mcp.opencaselaw.ch/entscheid/bger_9C_101_2017</w:t>
      </w:r>
    </w:p>
    <w:p>
      <w:r>
        <w:t>FR: TF 9C_101/2017 du 5 avril 2017</w:t>
      </w:r>
    </w:p>
    <w:p>
      <w:r>
        <w:t>IT: TF 9C_101/2017 del 5 aprile 2017</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Sachverhaltsfeststellung und Beweiswürdigung durch die Vorinstanz eine qualifizierte Begründungspflicht (Urteil 9C_306/2016 vom 4. Juli 2016 E. 1.1 mit Hinweis auf BGE 130 I 258 E. 1.3 S. 261 und Urteil 9C_619/2014 vom 31. März 2015 E. 2.2).</w:t>
      </w:r>
    </w:p>
    <w:p>
      <w:r>
        <w:rPr>
          <w:b/>
        </w:rPr>
        <w:t>E. 2</w:t>
      </w:r>
    </w:p>
    <w:p>
      <w:r>
        <w:t>Streitig ist der Rentenumfang des Versicherten ab Dezember 2012.</w:t>
      </w:r>
    </w:p>
    <w:p>
      <w:r>
        <w:rPr>
          <w:b/>
        </w:rPr>
        <w:t>E. 2.1</w:t>
      </w:r>
    </w:p>
    <w:p>
      <w:r>
        <w:t>Die Vorinstanz verneinte eine Gesundheitsverbesserung im massgebenden Zeitraum vom 9. Januar 2012 bis 13. Oktober 2015 sowie eine Anpassung des Versicherten an seine Leiden. Sie stellte fest, weder die beiden ZIMB- und SMAB AG-Gutachten noch die Observationsergebnisse vermöchten eine Leidensanpassung zu begründen. Entsprechend kam sie zum Schluss, dem Beschwerdegegner sei die ganze Rente auch ab 1. Dezember 2012 weiterhin auszurichten. Die Beschwerdeführerin lässt die Feststellungen der Vorinstanz, es liege keine Gesundheitsverbesserung vor, unbestritten. Hingegen erblickt sie einen Revisionsgrund in der Anpassung des Versicherten an seine Leiden.</w:t>
      </w:r>
    </w:p>
    <w:p>
      <w:r>
        <w:rPr>
          <w:b/>
        </w:rPr>
        <w:t>E. 2.2</w:t>
      </w:r>
    </w:p>
    <w:p>
      <w:r>
        <w:t>Bei den gerichtlichen Feststellungen zum Gesundheitszustand und zur Arbeitsfähigkeit bzw. deren Veränderung in einem bestimmten Zeitraum handelt es sich grundsätzlich um Tatfragen ( BGE 132 V 393 E. 3.2 S. 397 ff.). Dies gilt auch für veränderte Auswirkungen auf den Erwerbs- oder Aufgabenbereich, wozu die Verbesserung der Arbeitsfähigkeit aufgrund einer Angewöhnung oder Anpassung an die Behinderung gehört (Urteil 8C_454/2016 vom 19. Dezember 2016 E. 2). Die konkrete Beweiswürdigung stellt ebenfalls eine Tatfrage dar (Urteil 9C_399/2016 vom 18. Januar 2017 E. 4.3 mit Hinweisen; Urteil 9C_204/2009 vom 6. Juli 2009 E. 4.1, nicht publ. in BGE 135 V 254 , aber in: SVR 2009 IV Nr. 53 S. 164).</w:t>
      </w:r>
    </w:p>
    <w:p>
      <w:r>
        <w:rPr>
          <w:b/>
        </w:rPr>
        <w:t>E. 3.1</w:t>
      </w:r>
    </w:p>
    <w:p>
      <w:r>
        <w:t>Soweit die Beschwerdeführerin eine Anpassung des Versicherten an seine Leiden mit den Observationsergebnissen begründen will, ist auf die vorinstanzlichen Erwägungen zu verweisen, wonach ein Observationsbericht für sich allein nicht als Beweisgrundlage dienen kann (vgl. BGE 137 I 327 E. 7.1 S. 337 mit Hinweisen; Urteil 8C_192/2013 vom 16. August 2013 E. 3.1 mit Hinweisen, in: SVR 2013 UV Nr. 32 S. 111). Das kantonale Gericht würdigte die medizinischen Akten einlässlich und legte nachvollziehbar dar, die Observation liefere keine neuen Erkenntnisse, welche nicht in die Expertisen des ZIMB und der SMAB AG eingeflossen seien. Die in den Videoaufzeichnungen sichtbaren Aktivitäten des Beschwerdegegners würden nicht über das von den Gutachtern Festgestellte hinaus gehen. Der Einwand der IV-Stelle, anhand der Observation werde aufgezeigt, der Beschwerdegegner könne trotz seiner Behinderung verschiedene Tätigkeiten verrichten, lässt die erfolgte Beweiswürdigung des kantonalen Gerichts nicht als offensichtlich unrichtig oder anderweitig bundesrechtswidrig erscheinen (vgl. E. 2.2 hievor).</w:t>
      </w:r>
    </w:p>
    <w:p>
      <w:r>
        <w:rPr>
          <w:b/>
        </w:rPr>
        <w:t>E. 3.2</w:t>
      </w:r>
    </w:p>
    <w:p>
      <w:r>
        <w:t>Die Beschwerdeführerin macht ausserdem geltend, laut den beiden polydisziplinären Gutachten sei der Versicherte voll arbeitsfähig bei einer Leistungseinschränkung von 20 %. Es bestehe somit höchstens eine qualitative Einschränkung, was die Vorinstanz nicht beachtet und somit zu Unrecht einen Revisionsgrund verneint habe. Mit dem Einwand, dass die Gutachter einstimmig von einer 20%igen Einschränkung der Leistungsfähigkeit ausgehen, kann die IV-Stelle keinen Revisionsgrund im Sinne von Art. 17 Abs. 1 ATSG geltend machen. Denn die Ärzte beider Gutachterstellen berichteten von einer gleichbleibenden Arbeitsfähigkeit des Versicherten im massgebenden Vergleichszeitraum, was eine Verbesserung der Arbeitsfähigkeit aufgrund einer Anpassung an die Behinderung ausschliesst.</w:t>
      </w:r>
    </w:p>
    <w:p>
      <w:r>
        <w:rPr>
          <w:b/>
        </w:rPr>
        <w:t>E. 3.3</w:t>
      </w:r>
    </w:p>
    <w:p>
      <w:r>
        <w:t>Die weiteren beschwerdeweise erhobenen Einwendungen zur Feststellung der Vorinstanz, den medizinischen Akten und den Observationsergebnissen könne eine Anpassung an das Leiden nicht entnommen werden, erschöpfen sich in einer im Rahmen der gesetzlichen Überprüfungsbefugnis des Bundesgerichts (E. 1.1 hievor) unzulässigen appellatorischen Kritik an der Beweiswürdigung des kantonalen Gerichts. Es fehlt an einer Darlegung, weshalb die entsprechenden Erwägungen des Entscheids - welche entgegen der IV-Stelle ausreichend begründet und ohne Weiteres sachgerecht anfechtbar waren (vgl. dazu BGE 142 II 49 E. 9.2 S. 65 ; 136 I 229 E. 5.2 S. 236 mit Hinweisen) - offensichtlich unrichtig sind (vgl. E. 1.2 und 2.2 hievor).</w:t>
      </w:r>
    </w:p>
    <w:p>
      <w:r>
        <w:rPr>
          <w:b/>
        </w:rPr>
        <w:t>E. 3.4</w:t>
      </w:r>
    </w:p>
    <w:p>
      <w:r>
        <w:t>Die Frage nach einer Meldepflichtverletzung im Sinne von Art. 88</w:t>
      </w:r>
    </w:p>
    <w:p>
      <w:r>
        <w:t>bis Abs. 2 lit. b IVV ist obsolet, da die Vorinstanz einen Revisionsgrund verneinte und die Weiterausrichtung der ganzen Rente ab 1. Dezember 2012 anordnete, ohne dabei Bundesrecht zu verletzen. Gleichzeitig erübrigt es sich, der - in Fällen wie vorliegend seit dem Urteil des Europäischen Gerichtshofes für Menschenrechte (EGMR; dritte Kammer) in Sachen Vukota-Bojic gegen die Schweiz (61838/10) vom 18. Oktober 2016 jeweils aufgeworfenen - Frage nach der Rechtmässigkeit der Observierung nachzugehen.</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