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9C_1019/2012 vom 23. August 2013</w:t>
      </w:r>
    </w:p>
    <w:p>
      <w:r>
        <w:t>Bundesgericht, 2013-08-23, DE</w:t>
      </w:r>
    </w:p>
    <w:p>
      <w:r>
        <w:rPr>
          <w:b/>
        </w:rPr>
        <w:t xml:space="preserve">Quelle: </w:t>
      </w:r>
      <w:r>
        <w:t>https://mcp.opencaselaw.ch/entscheid/bger_9C_1019_2012</w:t>
      </w:r>
    </w:p>
    <w:p>
      <w:r>
        <w:t>FR: TF 9C_1019/2012 du 23 août 2013</w:t>
      </w:r>
    </w:p>
    <w:p>
      <w:r>
        <w:t>IT: TF 9C_1019/2012 del 23 agosto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2.1</w:t>
      </w:r>
    </w:p>
    <w:p>
      <w:r>
        <w:t>Das kantonale Gericht stellte nach eingehender Würdigung sämtlicher medizinischer Unterlagen entscheidend auf das Gutachten der MEDAS vom 2. August 2010 ab. Darin wird eine Fingerpolyarthrose beidseits und eine initiale STT-Arthrose rechts, eine Dysthymia (ICD-10; F. 34.1), ein chronisches generalisiertes Schmerzsyndrom mit Akzentuierung einer Cervicocephalgie und Cervicobrachialgie, Adipositas, episodische Sinustachykardien und arterielle Hypertonie diagnostiziert. Die Vorinstanz hielt fest, das MEDAS-Gutachten erfülle sämtliche von der Rechtsprechung aufgestellten Kriterien ( BGE 125 V 351 E. 3a S. 352). Es sei für die Beantwortung der relevanten Fragen umfassend, beruhe auf den erforderlichen Abklärungen, berücksichtige die von der Beschwerdeführerin geklagten Beschwerden und setze sich mit diesen auseinander. Auch sei es in Kenntnis der und in Auseinandersetzung mit den wichtigsten Vorakten abgegeben worden und leuchte in der Darlegung der medizinischen Situation ein. Das kantonale Gericht erwog des Weitern, von der Durchführung einer Evaluation der funktionellen Leistungsfähigkeit seien keine weitergehenden Erkenntnisse zu erwarten. Es ging davon aus, dass die Beschwerdeführerin in der vollzeitlichen Ausübung ihrer angestammten Tätigkeiten als Hauswartin und Reinigungsangestellte trotz ihrer Beschwerden nicht dauerhaft wesentlich eingeschränkt sei und gewesen sei, weshalb die IV-Stelle das Vorliegen eines invalidisierenden Gesundheitsschadens zu Recht verneint habe.</w:t>
      </w:r>
    </w:p>
    <w:p>
      <w:r>
        <w:rPr>
          <w:b/>
        </w:rPr>
        <w:t>E. 2.2</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Unterlagen auseinandergesetzt und eingehend begründet, weshalb es auf das MEDAS-Gutachten vom 2. August 2010 und dessen Beurteilung der vollen Arbeitsfähigkeit in der zuletzt ausgeübten Erwerbstätigkeit als Hausmeisterin, Reinigungsfachkraft oder einer anderen äquivalenten Verweistätigkeit abstellt. Die in der Beschwerde erhobenen Einwendungen - soweit es nicht um appellatorische Kritik am vorinstanzlichen Entscheid durch Wiederholung der vorinstanzlichen Beschwerdebegründung handelt - ändern nichts.</w:t>
      </w:r>
    </w:p>
    <w:p>
      <w:r>
        <w:t>Die Einwendungen gegen den ehemaligen Chefarzt der MEDAS betreffen einen Vorfall im Jahre 2007, an welchem die Beschwerdeführerin in keiner Weise beteiligt war. Ein strafrechtlich zur Anklage gebrachter Vorfall im Zusammenhang mit einer früheren Begutachtung vermag nicht Jahre später noch objektiv den Anschein von Befangenheit betreffend eine andere, im damaligen Verfahren unbeteiligte zu begutachtende Person zu wecken (Urteile 9C_970/2012 vom 23. April 2013 E. 4.3.2; Urteil 8C_284/2013 vom 5. Juli 2013; Urteil 8C_181/2013 vom 4. Juni 2013 E. 3).</w:t>
      </w:r>
    </w:p>
    <w:p>
      <w:r>
        <w:t>Das Gutachten der MEDAS wurde vor Erlass von BGE 137 V 210 eingeholt, weshalb die in diesem Entscheid festgehaltenen Mitwirkungsrechte noch nicht zum Tragen kommen konnten. Das kantonale Gericht hat dargelegt, weshalb das Gutachten vom 2. August 2010 beweiskräftig ist (vgl. BGE 137 V 210 E. 6 Ingress S. 266; Urteil 9C_495/2012 vom 4. Oktober 2012 E. 2.2).</w:t>
      </w:r>
    </w:p>
    <w:p>
      <w:r>
        <w:t>Soweit die Beschwerdeführerin die fehlende Synthesekonferenz beanstandet, ist darauf hinzuweisen, dass das Gutachten von allen beteiligten Ärzten unterzeichnet worden ist und damit ein gemeinsamer Konsens erstellt ist. Die erstmaligen Vorbringen mit Bezug auf die Anamnese und die ICD-Codierung sind nicht geeignet, Zweifel am MEDAS-Gutachten zu wecken. Was die Überwindbarkeit der Schmerzsymptomatik, die Dauer der Exploration, die Diagnose und den Einfluss der Fingerpolyarthrose auf die Arbeitsfähigkeit betrifft, setzt sich die Beschwerdeführerin nicht mit den vorinstanzlichen Erwägungen auseinander (vgl. E. 1.2.1) und zeigt nicht auf, inwiefern die Erwägungen des kantonalen Gerichts schlechterdings unhaltbar wären. Namentlich verkennt sie den auch von der Vorinstanz festgehaltenen Unterschied von Therapie- und Begutachtungsauftrag (vgl. statt vieler Urteil 9C_799/2012 vom 16. Mai 2013 E. 2.3), wenn sie sich auf ihre behandelnden Ärzte beruft.</w:t>
      </w:r>
    </w:p>
    <w:p>
      <w:r>
        <w:t>Was die geltend gemachte posttraumatische Belastungsstörung angeht, so ist mit Blick auf die zwischen Trauma und psychischer Dekompensation liegende lange Zeitspanne, während welcher die verheiratete Beschwerdeführerin nebst der Haushaltführung und Kindererziehung (zeitweise) einer Erwerbstätigkeit nachging, nicht geeignet, um die Beurteilung und Einschätzung der MEDAS als überwiegend wahrscheinlich unzutreffend erscheinen zu lassen (Urteil 9C_228/2013 vom 26. Juni 2013 E. 4.1). Schliesslich trägt die Beschwerdeführerin zumindest teilweise nur ihre eigene Sicht der Dinge vor. Insgesamt ist nicht ersichtlich, dass und inwiefern das vorinstanzliche Beweisergebnis mit dem Abstellen auf das Gutachten der MEDAS vom 2. August 2010 schlechterdings nicht mehr vertretbar und damit willkürlich ist.</w:t>
      </w:r>
    </w:p>
    <w:p>
      <w:r>
        <w:rPr>
          <w:b/>
        </w:rPr>
        <w:t>E. 2.3</w:t>
      </w:r>
    </w:p>
    <w:p>
      <w:r>
        <w:t>Zusammenfassend ging das kantonale Gericht davon aus, die Beschwerdeführerin sei in der vollzeitlichen Ausübung ihrer angestammten Tätigkeiten als Hauswartin und Reinigungsangestellte trotz ihrer Beschwerden nicht dauerhaft eingeschränkt. Daraus hat es in Bestätigung der Auffassung der IV-Stelle das Vorliegen eines rentenbegründenden Invaliditätsgrades zu Recht verneint.</w:t>
      </w:r>
    </w:p>
    <w:p>
      <w:r>
        <w:rPr>
          <w:b/>
        </w:rPr>
        <w:t>E. 3</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