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1011/2008 vom 9. März 2009</w:t>
      </w:r>
    </w:p>
    <w:p>
      <w:r>
        <w:t>Bundesgericht, 2009-03-09, DE</w:t>
      </w:r>
    </w:p>
    <w:p>
      <w:r>
        <w:rPr>
          <w:b/>
        </w:rPr>
        <w:t xml:space="preserve">Quelle: </w:t>
      </w:r>
      <w:r>
        <w:t>https://mcp.opencaselaw.ch/entscheid/bger_9C_1011_2008</w:t>
      </w:r>
    </w:p>
    <w:p>
      <w:r>
        <w:t>FR: TF 9C 1011/2008 du 9 mars 2009</w:t>
      </w:r>
    </w:p>
    <w:p>
      <w:r>
        <w:t>IT: TF 9C 1011/2008 del 9 marzo 2009</w:t>
      </w:r>
    </w:p>
    <w:p>
      <w:pPr>
        <w:pStyle w:val="Heading2"/>
      </w:pPr>
      <w:r>
        <w:t>Regeste</w:t>
      </w:r>
    </w:p>
    <w:p>
      <w:r>
        <w:t>Alters- und Hinterlassenenversicherung | Alters- und Hinterlassenenversicherung</w:t>
      </w:r>
    </w:p>
    <w:p>
      <w:pPr>
        <w:pStyle w:val="Heading2"/>
      </w:pPr>
      <w:r>
        <w:t>Erwägungen</w:t>
      </w:r>
    </w:p>
    <w:p>
      <w:r>
        <w:rPr>
          <w:b/>
        </w:rPr>
        <w:t>E. 1</w:t>
      </w:r>
    </w:p>
    <w:p>
      <w:r>
        <w:t>Die Vorinstanz hat die Bestimmungen über die Rückforderung zu viel bezahlter oder nicht geschuldeter Beiträge ( Art. 25 Abs. 3 ATSG [SR 830.1]; Art. 41 AHVV [SR 831.101]) sowie die Revision und Wiedererwägung formell rechtskräftiger Verfügungen und Einspracheentscheide ( Art. 53 Abs. 1 und 2 ATSG ) zutreffend wiedergegeben. Diese Grundsätze gelten auch, wenn nicht die Revision oder Wiedererwägung einer Verfügung im formellen, sondern einer Verfügung im materiellen Sinn (vgl. dazu BGE 117 V 97 E. 2b S. 102) in Frage steht, wie im vorliegenden Fall, welchem eine Rechnung der Ausgleichskasse über paritätische Beiträge vom 6. April 2000 zugrunde liegt. Fehlt eine fristgerechte Intervention der beitragspflichtigen Person, entfaltet der im formlosen Verfahren ergangene Entscheid in gleicher Weise Rechtswirkungen, wie wenn er im durch Art. 51 Abs. 1 ATSG umschriebenen Rahmen erlassen worden wäre, wobei die Frist, innert welcher formlose Mitteilungen anzufechten sind, auf ein Jahr festgesetzt wurde ( BGE 134 V 145 E. 5 S. 149 ff.). Ergänzend ist Folgendes zu beachten: Art. 55 Abs. 1 ATSG sieht vor, dass in den Art. 27-54 oder in den Einzelgesetzen nicht abschliessend geregelte Verfahrensbereiche sich nach dem Verwaltungsverfahrensgesetz vom 20. Dezember 1968 (VwVG; SR 172.021) bestimmen. Weil das ATSG keine Vorschrift zur Frist enthält, innert welcher ein Revisionsgesuch bei der Verwaltung einzureichen ist, sind gestützt auf Art. 55 Abs. 1 ATSG die Bestimmungen des VwVG anwendbar (KIESER, ATSG-Kommentar, 2. Aufl., Zürich 2009, Rz. 23 zu Art. 53). Gemäss Art. 67 Abs. 1 VwVG ist das Revisionsbegehren der Beschwerdeinstanz innert 90 Tagen nach Entdeckung des Revisionsgrundes, spätestens aber innert 10 Jahren nach Eröffnung des Beschwerdeentscheides, schriftlich einzureichen. Dass die prozessuale Revision von Verwaltungsverfügungen nur innerhalb der für die Revision von Beschwerdeentscheiden massgebenden Fristen zulässig ist, hat das Eidgenössische Versicherungsgericht im Übrigen bereits vor Inkrafttreten des ATSG erkannt, als dieses Institut erst in einzelnen Sozialversicherungszweigen gesetzlich geregelt war (RKUV 1994 Nr. U 191 E. 3 S. 145f. mit Hinweis). Zusätzlich hat das Gericht im nämlichen Urteil festgehalten, dass die Fristen des Art. 67 VwVG im Sinne eines allgemeinen Rechtsgrundsatzes zu beachten sind, wenn die prozessuale Revision von Verfügungen in Frage steht, die von Verwaltungsbehörden erlassen wurden, für welche das VwVG nicht gilt.</w:t>
      </w:r>
    </w:p>
    <w:p>
      <w:r>
        <w:rPr>
          <w:b/>
        </w:rPr>
        <w:t>E. 2</w:t>
      </w:r>
    </w:p>
    <w:p>
      <w:r>
        <w:t>Im Entscheid vom 23. September 2005 hat die Vorinstanz erkannt, dass die Beitragsfestsetzung auf den 1999 zugeteilten Optionen in formelle Rechtskraft erwachsen sei. Weil die Eingabe des Beschwerdeführers vom 24. Dezember 2004 nicht als Wiedererwägungsgesuch, sondern als Gesuch um Durchführung einer prozessualen Revision zu verstehen sei, hat das Gericht die Ausgleichskasse verpflichtet, über dieses Revisionsgesuch zu verfügen. Diese hat sich deshalb darauf beschränkt, das Rückerstattungsbegehren unter dem Aspekt der Revision zu prüfen. Gegenstand des kantonalen Beschwerdeverfahrens bildete dementsprechend ebenfalls nur diese Frage, und auch letztinstanzlich ist der Antrag des Beschwerdeführers nur unter dem Titel der prozessualen Revision zu prüfen.</w:t>
      </w:r>
    </w:p>
    <w:p>
      <w:r>
        <w:rPr>
          <w:b/>
        </w:rPr>
        <w:t>E. 3.1</w:t>
      </w:r>
    </w:p>
    <w:p>
      <w:r>
        <w:t>Der Beschwerdeführer gelangte mit Schreiben vom 8. Mai 2003 an die Ausgleichskasse. Unter Beilage der Neueinschätzung seines Einkommens für die Jahre 1999/2000 durch das Steueramt ersuchte er um Berichtigung der erhobenen AHV-Beiträge sowie darum, allfällige Überschüsse des Arbeitnehmeranteils auf sein Bankkonto zu überweisen. Einen Revisionsgrund behauptete er in jenem Schreiben nicht, und die korrigierte Steuereinschätzung ersetzt das fehlende Revisionsgesuch nicht, zumal sie keinerlei Hinweise auf die Bilanzfälschungen und den damit zusammenhängenden Revisionsgrund enthält. Ein formgültiges, ausreichend begründetes Revisionsgesuch kann mit der Vorinstanz erst in der Eingabe des Beschwerdeführers vom 24. Dezember 2004 an die Ausgleichskasse erblickt werden, worin er auf die als Folge der Bilanzfälschungen der Muttergesellschaft Y.________/USA unrichtige Bewertung der von der Ausgleichskasse als massgebenden Lohn erfassten Mitarbeiteroptionen hinwies.</w:t>
      </w:r>
    </w:p>
    <w:p>
      <w:r>
        <w:rPr>
          <w:b/>
        </w:rPr>
        <w:t>E. 3.2</w:t>
      </w:r>
    </w:p>
    <w:p>
      <w:r>
        <w:t>Dieses Revisionsgesuch war klar verspätet. Bereits einem Schreiben der Vertreterin des Beschwerdeführers an das kantonale Steueramt vom 11. Februar 2003 lässt sich entnehmen, dass diesem die Bilanzfälschungen und weitere strafbare Handlungen der Y.________/USA mit Auswirkungen auf den Wert der Optionen bis ins Jahr 1999 zurück bekannt waren. Nachdem diese kriminellen Handlungen der Organe der Muttergesellschaft seiner früheren Arbeitgeberin nach Ansicht des Beschwerdeführers einen Revisionsgrund darstellen, indem die Mitarbeiteroptionen von Anfang an wertlos waren, was indessen erst nachträglich festgestellt werden konnte, hätte er innert 90 Tagen nach Entdeckung des behaupteten Revisionsgrundes das Revisionsbegehren gemäss Art. 67 Abs. 1 VwVG schriftlich bei der Ausgleichskasse einreichen müssen. Dies hat er unterlassen und stattdessen innert Frist lediglich am 8. Mai 2003 der Ausgleichskasse die Neueinschätzung seines Einkommens für die Jahre 1999/2000 durch das Steueramt zugestellt, ohne einen Revisionsgrund wenigstens zu behaupten. Da das Revisionsgesuch vom 24. Dezember 2004 erst mehr als 1 1/2 Jahre nach Ablauf der 90tägigen Revisionsfrist eingereicht wurde, hätte die Ausgleichskasse dieses mittels Nichteintretens erledigen müssen. Die Stichhaltigkeit des geltend gemachten Revisionsgrundes braucht zufolge Fristversäumnisses nicht geprüft zu werden.</w:t>
      </w:r>
    </w:p>
    <w:p>
      <w:r>
        <w:rPr>
          <w:b/>
        </w:rPr>
        <w:t>E. 4</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