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9C_1006/2010 vom 22. März 2011</w:t>
      </w:r>
    </w:p>
    <w:p>
      <w:r>
        <w:t>Bundesgericht, 2011-03-22, FR</w:t>
      </w:r>
    </w:p>
    <w:p>
      <w:r>
        <w:rPr>
          <w:b/>
        </w:rPr>
        <w:t xml:space="preserve">Quelle: </w:t>
      </w:r>
      <w:r>
        <w:t>https://mcp.opencaselaw.ch/entscheid/bger_9C_1006_2010</w:t>
      </w:r>
    </w:p>
    <w:p>
      <w:r>
        <w:t>FR: TF 9C_1006/2010 du 22 mars 2011</w:t>
      </w:r>
    </w:p>
    <w:p>
      <w:r>
        <w:t>IT: TF 9C_1006/2010 del 22 marzo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question qui se pose est celle de savoir quelle a été l'évolution de l'invalidité et quels ont été, le cas échéant, les effets d'une telle évolution sur le droit à la rente depuis juin 2008.</w:t>
      </w:r>
    </w:p>
    <w:p>
      <w:r>
        <w:rPr>
          <w:b/>
        </w:rPr>
        <w:t>E. 2.2</w:t>
      </w:r>
    </w:p>
    <w:p>
      <w:r>
        <w:t>Une décision par laquelle l'assurance-invalidité accorde une rente d'invalidité avec effet rétroactif et, en même temps, prévoit l'augmentation, la réduction ou la suppression de cette rente, correspond à une décision de révision au sens de l' art. 17 LPGA ( ATF 130 V 343 consid. 3.5 p. 349; ATF 125 V 413 consid. 2d p. 417 s.).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s.).</w:t>
      </w:r>
    </w:p>
    <w:p>
      <w:r>
        <w:rPr>
          <w:b/>
        </w:rPr>
        <w:t>E. 3.1</w:t>
      </w:r>
    </w:p>
    <w:p>
      <w:r>
        <w:t>Se fondant principalement sur le rapport d'expertise, les premiers juges ont considéré que la recourante était pleinement capable de travailler depuis le 1er mars 2008 dans une activité adaptée. Ils ont retenu une diminution de rendement de 20 %, tenant compte d'éléments qui ne figuraient pas dans l'expertise mais avaient été mentionnés par d'autres médecins. Ils ont en outre estimé que la recourante n'était plus affectée par une atteinte à la santé psychique, dès lors que l'intensité de son épisode dépressif, qualifiée précédemment de sévère, était devenue moyenne. Quant au trouble somatoforme douloureux, il ne remplissait pas les critères de gravité pour qu'il puisse être qualifié d'invalidant. Sur la base de ces éléments, l'instance cantonale n'a pas jugé utile de mettre en oeuvre une expertise complémentaire.</w:t>
      </w:r>
    </w:p>
    <w:p>
      <w:r>
        <w:rPr>
          <w:b/>
        </w:rPr>
        <w:t>E. 3.2</w:t>
      </w:r>
    </w:p>
    <w:p>
      <w:r>
        <w:t>La recourante se plaint d'une constatation inexacte des faits. C'est à tort que l'instance cantonale aurait tenu compte de l'expertise de l'Hôpital V.________. Elle aurait méconnu l'ampleur de son trouble dépressif puisque, selon ses médecins traitants, celui-ci entraînait une incapacité de travail de 100 %. Dans ces conditions, il s'imposait de procéder à une expertise complémentaire.</w:t>
      </w:r>
    </w:p>
    <w:p>
      <w:r>
        <w:rPr>
          <w:b/>
        </w:rPr>
        <w:t>E. 3.3</w:t>
      </w:r>
    </w:p>
    <w:p>
      <w:r>
        <w:t>La recourante ne parvient cependant pas à démontrer en quoi la juridiction cantonale aurait constaté les faits de manière manifestement inexacte. L'expertise de l'Hôpital V.________ remplit toutes les exigences formelles auxquelles la jurisprudence soumet la valeur probante d'un tel document ( ATF 125 V 351 consid. 3a p. 352). Les conclusions rendues par un collège d'experts résultent d'une analyse complète de la situation médicale - objective et subjective -, portant aussi bien sur les aspects somatiques que psychiques des troubles allégués. Elles sont étayées par les résultats des examens spécialisés auxquels s'est soumise la recourante (en rhumatologie, neurologie et psychiatrie) et examinent l'interaction des différentes atteintes à la santé et leur influence sur la capacité de travail. Le fait que l'instance cantonale se soit écartée des conclusions de l'expertise sur un point - l'influence des limitations fonctionnelles - ne saurait à lui seul mettre en doute la valeur probante de ce rapport, ce d'autant que les critiques de la recourante portent sur l'appréciation de son état de santé psychique. La contradiction, relevée par la recourante, entre les conclusions de l'expertise et celles de ses médecins traitants, s'agissant de l'intensité de son trouble dépressif et de sa capacité résiduelle de travail, ne permet toutefois pas de remettre en question le jugement entrepris. Compte tenu de la divergence entre un mandat thérapeutique et un mandat d'expertise, on ne saurait remettre en cause une expertise ordonnée par l'administration ou un juge et procéder à de nouvelles investigations du seul fait qu'un ou plusieurs médecins traitants ont une opinion contradictoire ( ATF 124 I 170 consid. 4 p. 175; arrêt I 113/06 du 7 mars 2007 consid. 4.4 et les arrêts cités). Il n'en irait différemment que si ces médecins traitants avaient fait état d'éléments objectivement vérifiables - de nature clinique ou diagnostique - ayant été ignorés dans le cadre de l'expertise et suffisamment pertinents pour remettre en cause l'analyse approfondie de l'Hôpital V.________ ( ATF 125 V 352 consid. 3b/bb p. 353). Or, la recourante ne fait pas mention de tels éléments. A cet égard, il n'y a pas lieu de s'attarder sur l'argument selon lequel il ne serait pas concevable qu'une pleine capacité de travail succède du jour au lendemain à une totale incapacité de travail. Dans la mesure où les éléments médicaux concluent en l'espèce à une capacité de travail de 100 %, compte tenu d'une diminution de rendement de 20 %, il n'y a pas lieu de s'écarter de cette évaluation. Au vu de ce qui précède, les premiers juges n'avaient aucune raison de demander une expertise complémentaire, et un tel examen ne se justifie pas non plus en procédure fédérale.</w:t>
      </w:r>
    </w:p>
    <w:p>
      <w:r>
        <w:rPr>
          <w:b/>
        </w:rPr>
        <w:t>E. 4</w:t>
      </w:r>
    </w:p>
    <w:p>
      <w:r>
        <w:t>La recourante a produit, en instance fédérale, un rapport médical établi le 21 décembre 2010 par le docteur F.________. Il s'agit d'un moyen de preuve nouveau au sens de l' art. 99 al. 1 LTF , qui ne peut pas être pris en considération dans la présente procédure dès lors qu'il ne résulte pas du jugement entrepris. Qui plus est, ce document, qui ne fait qu'exposer en des termes très généraux la position, déjà connue, de ce médecin, n'apporte aucun élément qui permettrait de s'écarter des constatations de l'instance cantonale.</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