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9C_1003/2012 vom 15. Januar 2013</w:t>
      </w:r>
    </w:p>
    <w:p>
      <w:r>
        <w:t>Bundesgericht, 2013-01-15, DE</w:t>
      </w:r>
    </w:p>
    <w:p>
      <w:r>
        <w:rPr>
          <w:b/>
        </w:rPr>
        <w:t xml:space="preserve">Quelle: </w:t>
      </w:r>
      <w:r>
        <w:t>https://mcp.opencaselaw.ch/entscheid/bger_9C_1003_2012</w:t>
      </w:r>
    </w:p>
    <w:p>
      <w:r>
        <w:t>FR: TF 9C_1003/2012 du 15 janvier 2013</w:t>
      </w:r>
    </w:p>
    <w:p>
      <w:r>
        <w:t>IT: TF 9C_1003/2012 del 15 gennaio 2013</w:t>
      </w:r>
    </w:p>
    <w:p>
      <w:pPr>
        <w:pStyle w:val="Heading2"/>
      </w:pPr>
      <w:r>
        <w:t>Volltext</w:t>
      </w:r>
    </w:p>
    <w:p>
      <w:r>
        <w:t>Bundesgericht</w:t>
      </w:r>
    </w:p>
    <w:p>
      <w:r>
        <w:t>Tribunal fédéral</w:t>
      </w:r>
    </w:p>
    <w:p>
      <w:r>
        <w:t>Tribunale federale</w:t>
      </w:r>
    </w:p>
    <w:p>
      <w:r>
        <w:t>Tribunal federal</w:t>
      </w:r>
    </w:p>
    <w:p>
      <w:r>
        <w:t>9C_1003/2012 {T 0/2}</w:t>
      </w:r>
    </w:p>
    <w:p>
      <w:r>
        <w:t>Urteil vom 15. Januar 2013</w:t>
      </w:r>
    </w:p>
    <w:p>
      <w:r>
        <w:t>II. sozialrechtliche Abteilung</w:t>
      </w:r>
    </w:p>
    <w:p>
      <w:r>
        <w:t>Besetzung</w:t>
      </w:r>
    </w:p>
    <w:p>
      <w:r>
        <w:t>Bundesrichter Meyer, als Einzelrichter,</w:t>
      </w:r>
    </w:p>
    <w:p>
      <w:r>
        <w:t>Gerichtsschreiber R. Widmer.</w:t>
      </w:r>
    </w:p>
    <w:p>
      <w:r>
        <w:t>Verfahrensbeteiligte</w:t>
      </w:r>
    </w:p>
    <w:p>
      <w:r>
        <w:t>D.________,</w:t>
      </w:r>
    </w:p>
    <w:p>
      <w:r>
        <w:t>vertreten durch Rechtsdienst Integration Handicap,</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6. November 2012.</w:t>
      </w:r>
    </w:p>
    <w:p>
      <w:r>
        <w:t>Nach Einsicht</w:t>
      </w:r>
    </w:p>
    <w:p>
      <w:r>
        <w:t>in den Entscheid des Sozialversicherungsgerichts des Kantons Zürich vom 6. November 2012 und die Beschwerde vom 6. Dezember 2012,</w:t>
      </w:r>
    </w:p>
    <w:p>
      <w:r>
        <w:t>in Erwägung,</w:t>
      </w:r>
    </w:p>
    <w:p>
      <w:r>
        <w:t>dass das kantonale Gericht die Beschwerde der Versicherten mit dem angefochtenen Entscheid teilweise gutgeheissen und die Sache unter Aufhebung der Verwaltungsverfügung zu ergänzenden Abklärungen und neuer Verfügung an die IV-Stelle zurückgewiesen hat,</w:t>
      </w:r>
    </w:p>
    <w:p>
      <w:r>
        <w:t>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nicht ersichtlich ist, inwiefern mit einem Endurteil ein weitläufiges Beweisverfahren vermieden werden könnte, weshalb für die Anfechtbarkeit des Zwischenentscheides vom 6. November 2012 für die Beschwerdeführerin ein irreparabler Nachteil gegeben sein müsste,</w:t>
      </w:r>
    </w:p>
    <w:p>
      <w:r>
        <w:t>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133 V 477 E. 5.2.2 S. 483),</w:t>
      </w:r>
    </w:p>
    <w:p>
      <w:r>
        <w:t>dass ein nicht wieder gutzumachender Nachteil entgegen der in der Beschwerde vertretenen Auffassung auch nicht darin zu erblicken ist, dass die Vorinstanz sowohl die ursprüngliche Rentenzusprechung (Verfügungen vom 27. Mai und 10. Juli 2003) als auch deren Bestätigung gemäss Mitteilung vom 13. September 2005 als zweifellos unrichtig bezeichnet hat, bildet doch Gegenstand des vorliegenden Verfahrens allein die Frage, ob die IV-Stelle die der Versicherten seit Mai 2002 ausgerichtete halbe Invalidenrente zu Recht mit Verfügung vom 5. Mai 2011 auf Ende Juni 2011 aufgehoben hat,</w:t>
      </w:r>
    </w:p>
    <w:p>
      <w:r>
        <w:t>dass die Vorinstanz die Sache zur Abklärung dieser Frage mittels Anordnung eines rheumatologischen und allenfalls eines psychiatrischen Gutachtens und zu neuer Verfügung an die IV-Stelle zurückgewiesen hat,</w:t>
      </w:r>
    </w:p>
    <w:p>
      <w:r>
        <w:t>dass demgegenüber die Frage, ob die gesetzlichen Voraussetzungen für eine gegebenenfalls im Ermessen des Versicherungsträgers liegende Wiedererwägung ( Art. 53 Abs. 2 ATSG ; BGE 133 V 50 E. 4.1 S. 52) früherer, formell rechtskräftiger, leistungszusprechender oder -bestätigender Verfügungen zufolge zweifelloser Unrichtigkeit erfüllt seien, als solche nicht Anfechtungs- und Streitgegenstand des vorliegenden Prozesses bildet, sondern nur ein Begründungselement davon,</w:t>
      </w:r>
    </w:p>
    <w:p>
      <w:r>
        <w:t>dass entgegen den Vorbringen in der Beschwerde eine allenfalls seitens der Verwaltung vorgenommene Wiedererwägung gerichtlich und insbesondere letztinstanzlich ( Art. 93 Abs. 3 BGG ) noch angefochten werden könnte. Die Vorinstanz hat die Wiedererwägung als substituierte Begründung bejaht,</w:t>
      </w:r>
    </w:p>
    <w:p>
      <w:r>
        <w:t>dass die Eintretensvoraussetzungen damit nicht gegeben sind,</w:t>
      </w:r>
    </w:p>
    <w:p>
      <w:r>
        <w:t>dass die Gerichtskosten dem Verfahrensausgang entsprechend der Beschwerdeführerin aufzuerlegen sind, auf deren Rechtsmittel nicht einzutreten ist ( Art. 66 Abs. 1 Satz 1 BGG ),</w:t>
      </w:r>
    </w:p>
    <w:p>
      <w:r>
        <w:t>dass die Beschwerde offensichtlich unzulässig ist, weshalb sie im Verfahren nach Art. 108 Abs. 1 lit. a und Abs. 2 BGG erledigt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15. Januar 2013</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