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8G_1/2026 vom 18. Februar 2026</w:t>
      </w:r>
    </w:p>
    <w:p>
      <w:r>
        <w:t>Bundesgericht, 2026-02-18, DE</w:t>
      </w:r>
    </w:p>
    <w:p>
      <w:r>
        <w:rPr>
          <w:b/>
        </w:rPr>
        <w:t xml:space="preserve">Quelle: </w:t>
      </w:r>
      <w:r>
        <w:t>https://mcp.opencaselaw.ch/entscheid/bger_8G_1_2026</w:t>
      </w:r>
    </w:p>
    <w:p>
      <w:r>
        <w:t>FR: TF 8G_1/2026 du 18 février 2026</w:t>
      </w:r>
    </w:p>
    <w:p>
      <w:r>
        <w:t>IT: TF 8G_1/2026 del 18 febbraio 2026</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Im Dispositiv des Urteils 8C_166/2025 vom 19. Januar 2026 wurde versehentlich keine Parteientschädigung zugesprochen (Dispositiv-Ziffer 3), obwohl der Beschwerdeführer, ausweislich der Akten und wie auch im Rubrum des Urteils festgehalten, anwaltlich vertreten war. Mit Blick auf den Ausgang des Verfahrens steht ihm demnach eine von der Beschwerdegegnerin auszurichtende Parteientschädigung zu. Das Gesuch um Erläuterung/Berichtigung ist daher gutzuheissen. Das Urteilsdispositiv vom 19. Januar 2026 ist in dem Sinne zu berichtigen, dass dem obsiegenden Beschwerdeführer eine Parteientschädigung zusteht.</w:t>
      </w:r>
    </w:p>
    <w:p>
      <w:r>
        <w:rPr>
          <w:b/>
        </w:rPr>
        <w:t>E. 3</w:t>
      </w:r>
    </w:p>
    <w:p>
      <w:r>
        <w:t>Bei diesem Ausgang des Verfahrens sind keine Gerichtskosten zu erheben (Art. 66 Abs. 1 in fine BGG). Ferner hat der Gesuchsteller Anspruch auf eine Entschädigung aus der Gerichtskasse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