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1/2023 vom 11. April 2023</w:t>
      </w:r>
    </w:p>
    <w:p>
      <w:r>
        <w:t>Bundesgericht, 2023-04-11, DE</w:t>
      </w:r>
    </w:p>
    <w:p>
      <w:r>
        <w:rPr>
          <w:b/>
        </w:rPr>
        <w:t xml:space="preserve">Quelle: </w:t>
      </w:r>
      <w:r>
        <w:t>https://mcp.opencaselaw.ch/entscheid/bger_8G_1_2023</w:t>
      </w:r>
    </w:p>
    <w:p>
      <w:r>
        <w:t>FR: TF 8G 1/2023 du 11 avril 2023</w:t>
      </w:r>
    </w:p>
    <w:p>
      <w:r>
        <w:t>IT: TF 8G 1/2023 del 11 aprile 2023</w:t>
      </w:r>
    </w:p>
    <w:p>
      <w:pPr>
        <w:pStyle w:val="Heading2"/>
      </w:pPr>
      <w:r>
        <w:t>Regeste</w:t>
      </w:r>
    </w:p>
    <w:p>
      <w:r>
        <w:t>Invalidenversicherung | Invalidenversicherung</w:t>
      </w:r>
    </w:p>
    <w:p>
      <w:pPr>
        <w:pStyle w:val="Heading2"/>
      </w:pPr>
      <w:r>
        <w:t>Erwägungen</w:t>
      </w:r>
    </w:p>
    <w:p>
      <w:r>
        <w:rPr>
          <w:b/>
        </w:rPr>
        <w:t>E. 1</w:t>
      </w:r>
    </w:p>
    <w:p>
      <w:r>
        <w:t>Mit Verfügung vom 1. Juli 2021 verneinte die IV-Stelle des Kantons Aargau einen Rentenanspruch von A.________. Die dagegen erhobene Beschwerde hiess das Versicherungsgericht des Kantons Aargau mit Urteil vom 22. März 2022 gut. Es hob die angefochtene Verfügung auf und sprach A.________ mit Wirkung ab 1. August 2015 eine Viertelsrente zu (Dispositiv-Ziffer 1). Die Verfahrenskosten von Fr. 800.- auferlegte es der IV-Stelle (Dispositiv-Ziffer 2) und verpflichtete diese, A.________ eine Parteientschädigung in der Höhe von Fr. 2'450.- zu bezahlen (Dispositiv-Ziffer 3). A.________ führte dagegen Beschwerde in öffentlich-rechtlichen Angelegenheiten. Das Bundesgericht hiess diese am 16. Februar 2023 (Urteil 8C_283/2022) gut. Es hob das vorinstanzliche Urteil auf und verpflichtete die IV-Stelle, A.________ ab dem 1. August 2015 eine halbe Invalidenrente auszurichten.</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Entscheids korrigiert werden kann. Ein unvollständiges Dispositiv kann nach Art. 129 BGG ergänzt werden, wenn die Unvollständigkeit die Folge eines Versehens ist und das korrigierte Dispositiv ohne Weiteres aus den Erwägungen bzw. aus dem bereits getroffenen Entscheid abgeleitet werden kann (vgl. Urteil 6G_1/2021 vom 12. Mai 2021 E. 2 mit Hinweisen).</w:t>
      </w:r>
    </w:p>
    <w:p>
      <w:r>
        <w:rPr>
          <w:b/>
        </w:rPr>
        <w:t>E. 3</w:t>
      </w:r>
    </w:p>
    <w:p>
      <w:r>
        <w:t>Aus den Erwägungen des Urteils vom 16. Februar 2023 geht hervor, dass das Bundesgericht in Bezug auf den Rentenanspruch der damaligen Beschwerdeführerin einen reformatorischen Entscheid ( Art. 107 Abs. 2 BGG ) fällte. Indem es das kantonale Urteil vom 22. März 2022 umfassend aufhob, und nicht nur die entsprechende Dispositiv-Ziffer 1, fielen versehentlich auch die vorinstanzlichen Kostenfolgen dahin. Mithin fehlt es nun an einer Bestimmung über die Verteilung der vorinstanzlichen Gerichts- und Parteikosten. Entsprechend ist das Dispositiv gemäss Art. 129 Abs. 1 BGG von Amtes wegen zu erläutern bzw. zu berichtigen.</w:t>
      </w:r>
    </w:p>
    <w:p>
      <w:r>
        <w:rPr>
          <w:b/>
        </w:rPr>
        <w:t>E. 4</w:t>
      </w:r>
    </w:p>
    <w:p>
      <w:r>
        <w:t>Der Erläuterungs- bzw. Berichtigungsentscheid ergeht kostenfrei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