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8G_1/2015 vom 21. Mai 2015</w:t>
      </w:r>
    </w:p>
    <w:p>
      <w:r>
        <w:t>Bundesgericht, 2015-05-21, IT</w:t>
      </w:r>
    </w:p>
    <w:p>
      <w:r>
        <w:rPr>
          <w:b/>
        </w:rPr>
        <w:t xml:space="preserve">Quelle: </w:t>
      </w:r>
      <w:r>
        <w:t>https://mcp.opencaselaw.ch/entscheid/bger_8G_1_2015</w:t>
      </w:r>
    </w:p>
    <w:p>
      <w:r>
        <w:t>FR: TF 8G_1/2015 du 21 mai 2015</w:t>
      </w:r>
    </w:p>
    <w:p>
      <w:r>
        <w:t>IT: TF 8G_1/2015 del 21 maggio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domanda d'interpretazione è respinta.</w:t>
      </w:r>
    </w:p>
    <w:p>
      <w:r>
        <w:rPr>
          <w:b/>
        </w:rPr>
        <w:t>E. 2</w:t>
      </w:r>
    </w:p>
    <w:p>
      <w:r>
        <w:t>Le spese giudiziarie di fr. 500.- sono poste a carico dell'istante.</w:t>
      </w:r>
    </w:p>
    <w:p>
      <w:r>
        <w:rPr>
          <w:b/>
        </w:rPr>
        <w:t>E. 3</w:t>
      </w:r>
    </w:p>
    <w:p>
      <w:r>
        <w:t>Comunicazione alle parti e al Tribunale cantonale amministrativo.</w:t>
      </w:r>
    </w:p>
    <w:p>
      <w:r>
        <w:t>Lucerna, 21 maggio 2015</w:t>
      </w:r>
    </w:p>
    <w:p>
      <w:r>
        <w:t>In nome della I Corte di diritto sociale</w:t>
      </w:r>
    </w:p>
    <w:p>
      <w:r>
        <w:t>del Tribunale federale svizzero</w:t>
      </w:r>
    </w:p>
    <w:p>
      <w:r>
        <w:t>La Presidente: Leuzinger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