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8G.90/2003 vom 6. November 2003</w:t>
      </w:r>
    </w:p>
    <w:p>
      <w:r>
        <w:t>Bundesgericht, 2003-11-06, DE</w:t>
      </w:r>
    </w:p>
    <w:p>
      <w:r>
        <w:rPr>
          <w:b/>
        </w:rPr>
        <w:t xml:space="preserve">Quelle: </w:t>
      </w:r>
      <w:r>
        <w:t>https://mcp.opencaselaw.ch/entscheid/bger_8G.90_2003</w:t>
      </w:r>
    </w:p>
    <w:p>
      <w:r>
        <w:t>FR: TF 8G.90/2003 du 6 novembre 2003</w:t>
      </w:r>
    </w:p>
    <w:p>
      <w:r>
        <w:t>IT: TF 8G.90/2003 del 6 novembre 2003</w:t>
      </w:r>
    </w:p>
    <w:p>
      <w:pPr>
        <w:pStyle w:val="Heading2"/>
      </w:pPr>
      <w:r>
        <w:t>Regeste</w:t>
      </w:r>
    </w:p>
    <w:p>
      <w:r>
        <w:t>Verwaltungsstrafrecht</w:t>
      </w:r>
    </w:p>
    <w:p>
      <w:pPr>
        <w:pStyle w:val="Heading2"/>
      </w:pPr>
      <w:r>
        <w:t>Erwägungen</w:t>
      </w:r>
    </w:p>
    <w:p>
      <w:r>
        <w:rPr>
          <w:b/>
        </w:rPr>
        <w:t>E. 1</w:t>
      </w:r>
    </w:p>
    <w:p>
      <w:r>
        <w:t>Der Beschwerdeführer macht geltend, die beschlagnahmten Spielautomaten seien lediglich durch ihn und seinen Vater, die spielsüchtig seien und deshalb in sämtlichen Casinos der Schweiz Spielverbot hätten, privat benutzt worden. Das beschlagnahmte Geld stamme deshalb nicht aus einer strafbaren Handlung. Dem steht entgegen, dass die beiden Geräte - um deren Geldinhalt es im vorliegenden Verfahren noch geht - nicht in privaten Räumlichkeiten, sondern im öffentlich zugänglichen Saal des Restaurants aufgestellt waren. Der Beschwerdeführer hat denn auch an einer Einvernahme vom 1. September 2003 zugegeben, es gebe in Liestal zehn bis fünfzehn spielsüchtige Personen, die zu ihm ins Lokal gekommen seien, um an den Automaten zu spielen (act. 3 S. 3 mit Hinweis auf Beilage 3 S. 2). Dass diese Personen nach dem Spiel ihr Geld wieder zurückerhalten hätten, erscheint als unwahrscheinlich, wurden in den Automaten doch fast 3'000 Franken vorgefunden. Im zweiten Schriftenwechsel äussert sich der Beschwerdeführer zu seiner Aussage vom 1. September 2003 nicht (vgl. act. 10), obwohl die ESBK in ihrer Stellungnahme ausdrücklich darauf verwiesen hat. Gesamthaft gesehen besteht gestützt auf die eigenen Aussagen des Beschwerdeführers ein hinreichender Verdacht, dass das beschlagnahmte Geld aus strafbaren Handlungen stammen könnte. Ein solcher Anfangsverdacht reicht jedoch für die Beschlagnahme des Geldes aus ( BGE 124 IV 313 E. 4). Die Beschwerde ist in diesem Punkt offensichtlich unbegründet.</w:t>
      </w:r>
    </w:p>
    <w:p>
      <w:r>
        <w:rPr>
          <w:b/>
        </w:rPr>
        <w:t>E. 2</w:t>
      </w:r>
    </w:p>
    <w:p>
      <w:r>
        <w:t>Der Beschwerdeführer macht geltend, er sei dringend auf das beschlagnahmte Geld angewiesen, um damit anstehende Forderungen zu begleichen. Darauf ist nicht einzutreten. Weder der Beschwerde noch der Eingabe im zweiten Schriftenwechsel ist etwas über die finanziellen Verhältnisse des Beschwerdeführers zu entnehmen. Mit blossen Behauptungen, die in keiner Weise belegt oder wenigstens glaubhaft gemacht werden, kann die vorliegende Beschwerde jedoch nicht begründet werden.</w:t>
      </w:r>
    </w:p>
    <w:p>
      <w:r>
        <w:rPr>
          <w:b/>
        </w:rPr>
        <w:t>E. 3</w:t>
      </w:r>
    </w:p>
    <w:p>
      <w:r>
        <w:t>Die Beschwerde ist abzuweisen, soweit darauf eingetreten werden kann. Bei diesem Ausgang des Verfahrens hat der Beschwerdeführer die bundesgerichtlichen Kosten zu tragen ( Art. 25 Abs. 4 VStrR , Art. 156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