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8G.71/2002 vom 12. Juli 2002</w:t>
      </w:r>
    </w:p>
    <w:p>
      <w:r>
        <w:t>Bundesgericht, 2002-07-12, FR</w:t>
      </w:r>
    </w:p>
    <w:p>
      <w:r>
        <w:rPr>
          <w:b/>
        </w:rPr>
        <w:t xml:space="preserve">Quelle: </w:t>
      </w:r>
      <w:r>
        <w:t>https://mcp.opencaselaw.ch/entscheid/bger_8G.71_2002</w:t>
      </w:r>
    </w:p>
    <w:p>
      <w:r>
        <w:t>FR: TF 8G.71/2002 du 12 juillet 2002</w:t>
      </w:r>
    </w:p>
    <w:p>
      <w:r>
        <w:t>IT: TF 8G.71/2002 del 12 luglio 2002</w:t>
      </w:r>
    </w:p>
    <w:p>
      <w:pPr>
        <w:pStyle w:val="Heading2"/>
      </w:pPr>
      <w:r>
        <w:t>Erwägungen</w:t>
      </w:r>
    </w:p>
    <w:p>
      <w:r>
        <w:rPr>
          <w:b/>
        </w:rPr>
        <w:t>E. 1</w:t>
      </w:r>
    </w:p>
    <w:p>
      <w:r>
        <w:t>Déposé après l'expiration du délai de recours prévu à l' art. 48 al. 2 EIMP , le complément du 30 juin 2002 est irrecevable. Il ne contient d'ailleurs aucun argument juridique nouveau.</w:t>
      </w:r>
    </w:p>
    <w:p>
      <w:r>
        <w:rPr>
          <w:b/>
        </w:rPr>
        <w:t>E. 2</w:t>
      </w:r>
    </w:p>
    <w:p>
      <w:r>
        <w:t>En premier lieu, la recourante invoque l' art. 12 ch. 2 let. a CEExtr (RS 0.353.1) en ce sens que le jugement rendu en France, actuellement frappé d'appel, ne serait pas exécutoire; le mandat d'arrêt décerné le même jour ne suffirait donc pas pour légitimer une demande d'extradition. De plus, ce jugement aurait été rendu par défaut, ce qui exclurait l'extradition conformément à l' art. 37 al. 2 EIMP .</w:t>
      </w:r>
    </w:p>
    <w:p>
      <w:r>
        <w:t>En outre, selon l' art. 1a EIMP , la décision attaquée et la requête d'extradition à venir heurteraient de front l'ordre public suisse, car il serait notoire que nombre de mères quittent la France afin de protéger leurs enfants contre les dysfonctionnements de la justice de ce pays.</w:t>
      </w:r>
    </w:p>
    <w:p>
      <w:r>
        <w:rPr>
          <w:b/>
        </w:rPr>
        <w:t>E. 2.1</w:t>
      </w:r>
    </w:p>
    <w:p>
      <w:r>
        <w:t>Selon la jurisprudence, la détention extraditionnelle de la personne poursuivie constitue la règle et continue durant toute la procédure, alors que l'élargissement a un caractère exceptionnel ( ATF 117 IV 359 consid. 2a p. 362 et la jurisprudence citée). L'OFJ peut y renoncer s'il apparaît que l'intéressé ne se soustraira pas à l'extradition et n'entravera pas l'instruction ou si un alibi peut être fourni sans délai ( art. 47 al. 1 EIMP ). Si la personne poursuivie n'est pas apte à subir l'incarcération ou si d'autres motifs le justifient, l'OFJ peut, à titre de sûretés, substituer d'autres mesures à l'incarcération ( art. 47 al. 2 EIMP ). La détention est maintenue de plein droit notamment si l'extradition n'est pas manifestement inadmissible ( art. 51 al. 1 EIMP ).</w:t>
      </w:r>
    </w:p>
    <w:p>
      <w:r>
        <w:t>Les griefs contre l'extradition en tant que telle échappent à la compétence de la Chambre de céans (voir ATF 119 Ib 193 consid. 1c). Il ne lui appartient pas non plus d'ordonner des mesures d'instruction telles que des commissions rogatoires.</w:t>
      </w:r>
    </w:p>
    <w:p>
      <w:r>
        <w:rPr>
          <w:b/>
        </w:rPr>
        <w:t>E. 2.2</w:t>
      </w:r>
    </w:p>
    <w:p>
      <w:r>
        <w:t>En l'espèce, la plupart des moyens soulevés par la recourante relèvent de l'extradition elle-même. Comme l'indique l'OFJ, ils touchent à la régularité formelle ou matérielle de la demande d'extradition, ou à la procédure qui en découle, et leur examen incombe à l'OFJ en première instance, au TF dans le cadre d'un éventuel recours de droit administratif. Sous cet angle, le recours est irrecevable.</w:t>
      </w:r>
    </w:p>
    <w:p>
      <w:r>
        <w:t>Au stade actuel de la procédure, on ne discerne pas non plus en quoi la demande serait manifestement inadmissible au sens de l' art. 51 al. 1 EIMP . En effet, la détenue admet être l'auteur des faits à l'origine de sa condamnation. Elle affirme certes qu'elle a agi pour la protection de l'enfant. Cependant cette argumentation, soulevée en appel devant le juge français, doit être examinée en premier lieu par lui; or, il n'appartient pas à l'Etat requis de se substituer aux autorités judiciaires de l'Etat requérant.</w:t>
      </w:r>
    </w:p>
    <w:p>
      <w:r>
        <w:t>Dès lors, à cet égard, le recours doit être rejeté, dans la mesure où il est recevable.</w:t>
      </w:r>
    </w:p>
    <w:p>
      <w:r>
        <w:rPr>
          <w:b/>
        </w:rPr>
        <w:t>E. 2.3</w:t>
      </w:r>
    </w:p>
    <w:p>
      <w:r>
        <w:t>Selon l' art. 47 al. 2 EIMP , l'OFJ a la faculté de substituer d'autres mesures à l'arrestation si la personne poursuivie ne peut subir l'incarcération ou si d'autres motifs le justifient.</w:t>
      </w:r>
    </w:p>
    <w:p>
      <w:r>
        <w:t>La recourante affirme que son état de santé, après plus de 24 jours de grève de la faim, la rend inapte à subir l'incarcération. On ne dispose cependant d'aucun certificat médical établissant cette inaptitude. De plus, l'OFJ précise que la détention dans un hôpital reste une option réalisable à tout moment et que le risque de fuite de la détenue n'est pas exclu.</w:t>
      </w:r>
    </w:p>
    <w:p>
      <w:r>
        <w:t>Dans ces circonstances, le maintien de la recourante en détention, conforme à la règle valable en matière d'extradition, ne viole pas le principe de la proportionnalité. Dès lors, le recours doit être rejeté sur ce point.</w:t>
      </w:r>
    </w:p>
    <w:p>
      <w:r>
        <w:rPr>
          <w:b/>
        </w:rPr>
        <w:t>E. 3</w:t>
      </w:r>
    </w:p>
    <w:p>
      <w:r>
        <w:t>Le recours paraissait d'emblée voué à l'échec, ce qui ne permet pas l'octroi de l'assistance judiciaire demandée ( art. 152 OJ ).</w:t>
      </w:r>
    </w:p>
    <w:p>
      <w:r>
        <w:t>Il est cependant statué sans frais ( art. 48 al. 2 EIMP en liaison avec l' art. 219 al. 3 PPF ).</w:t>
      </w:r>
    </w:p>
    <w:p>
      <w:r>
        <w:t>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