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8G.38/2000 vom 8. November 2000</w:t>
      </w:r>
    </w:p>
    <w:p>
      <w:r>
        <w:t>Bundesgericht, 2000-11-08, DE</w:t>
      </w:r>
    </w:p>
    <w:p>
      <w:r>
        <w:rPr>
          <w:b/>
        </w:rPr>
        <w:t xml:space="preserve">Quelle: </w:t>
      </w:r>
      <w:r>
        <w:t>https://mcp.opencaselaw.ch/entscheid/bger_8G.38_2000</w:t>
      </w:r>
    </w:p>
    <w:p>
      <w:r>
        <w:t>FR: TF 8G.38/2000 du 8 novembre 2000</w:t>
      </w:r>
    </w:p>
    <w:p>
      <w:r>
        <w:t>IT: TF 8G.38/2000 del 8 novembre 2000</w:t>
      </w:r>
    </w:p>
    <w:p>
      <w:pPr>
        <w:pStyle w:val="Heading2"/>
      </w:pPr>
      <w:r>
        <w:t>Regeste</w:t>
      </w:r>
    </w:p>
    <w:p>
      <w:r>
        <w:t>Straftaten</w:t>
      </w:r>
    </w:p>
    <w:p>
      <w:pPr>
        <w:pStyle w:val="Heading2"/>
      </w:pPr>
      <w:r>
        <w:t>Erwägungen</w:t>
      </w:r>
    </w:p>
    <w:p>
      <w:r>
        <w:rPr>
          <w:b/>
        </w:rPr>
        <w:t>E. 1</w:t>
      </w:r>
    </w:p>
    <w:p>
      <w:r>
        <w:t>Das Gesuch wirft die grundsätzliche Frage auf, ob in Fällen wie dem vorliegenden, in welchen die Bundesbehörden eine Strafuntersuchung zwar angehoben, diese dann aber an einen Kanton delegiert haben, dessen Behörden oder die Bundesbehörden zuständig sind, über die Aufhebung einer Einstellungsverfügung, die Freigabe einer Kaution, die Aufhebung einer Kontensperre sowie ein Entschädigungsbegehren im Sinne von Art. 122 BStP zu befinden.</w:t>
      </w:r>
    </w:p>
    <w:p>
      <w:r>
        <w:rPr>
          <w:b/>
        </w:rPr>
        <w:t>E. 2</w:t>
      </w:r>
    </w:p>
    <w:p>
      <w:r>
        <w:t>Der Delegationsbeschluss ist eine Gerichtsstands- und Kompetenzdelegationsverfügung, die die Bundesstrafsache als Ganzes in ihrem vollen Umfang an einen Kanton überträgt; die kantonalen Behörden werden damit anstelle des Bundes zuständig, weshalb dessen Behörden keinen Einfluss mehr auf den Gang der Untersuchung haben ( BGE 119 IV 92 E. 2f; 113 IV 104 E. 2b). Mit der Delegation der Bundesstrafsache an einen Kanton geht somit die Verfahrensherrschaft vollständig an die kantonalen Behörden über. a) Soweit der Gesuchsteller deshalb beantragt, die Einstellungsverfügung der Bezirksanwaltschaft des Kantons Zürich vom 30. Mai 2000 aufzuheben (Antrag Ziff. 1), ist darauf nicht einzutreten. Diese ist mit den entsprechenden kantonalen Rechtsmitteln anzufechten, was offensichtlich auch bereits geschehen ist. b) Halten die kantonalen Strafverfolgungsbehörden durch die Bundesbehörden angeordnete prozessuale Massnahmen nach der Übernahme des Verfahrens weiterhin aufrecht, sind sie auch zuständig, über deren weiteres Schicksal zu befinden. Soweit der Gesuchsteller daher die Rückerstattung der Kaution bzw. die Aufhebung der Kontensperre verlangt, hat er sich dafür an die Behörden des Kantons Zürich zu wenden. Auch auf die Anträge Ziffer 2 und 3 ist deshalb nicht einzutreten.</w:t>
      </w:r>
    </w:p>
    <w:p>
      <w:r>
        <w:rPr>
          <w:b/>
        </w:rPr>
        <w:t>E. 3</w:t>
      </w:r>
    </w:p>
    <w:p>
      <w:r>
        <w:t>Soweit ersichtlich, bezieht sich das Gesuch um Entschädigung und Genugtuung gemäss Ziffer 4 und 5 der Anträge auf den Teil des Ermittlungsverfahrens, welcher noch durch die Bundesbehörden geführt wurde, bevor die Strafuntersuchung im April 1996 an den Kanton Zürich delegiert wurde, der sie dann einstellte. Entschädigungsgesuche nach Art. 122 BStP sind - soweit sie sich auf den unter der Verfahrensherrschaft des Bundes abgewickelten Teil der Strafuntersuchung beziehen - nach der Rechtsprechung der Anklagekammer trotz des Übergangs der Verfahrensherrschaft vom Bund auf den Kanton an die zuständigen Bundesbehörden zu richten; die Entschädigung für allfällige, in diesem Abschnitt des Verfahrens erlittene Nachteile ist denn auch durch den Bund zu leisten ( Art. 122 BStP ; BGE 83 IV 207 E. 2, unter Hinweis auf BGE 69 IV 187 ; bestätigt im unveröffentlichten BGE vom 7. Dezember 1989 i.S. L. gegen Schweiz. Bundesanwaltschaft). Das Bundesgericht wendet den gleichen Grundsatz auch in Fällen an, in denen die Behörden eines Kantons die Strafverfolgung von einem anderen Kanton übernommen und durch Einstellungsverfügung oder ein freisprechendes Urteil abgeschlossen haben ( BGE 108 Ia 13 E. 4, mit Hinweis auf BGE 69 IV 187 ; vgl. auch BGE 121 IV 34 ). Dazu führte das Bundesgericht aus, es liege nahe, dass der für die Anordnung der Zwangsmassnahme verantwortliche Kanton entscheide, ob und inwieweit für deren allfällige nachteilige Folgen nach seinem Recht eine Entschädigung zu zahlen sei; denn es sei schlechterdings nicht ersichtlich, aus welchen Gründen ein Kanton, welcher ein Strafverfahren als Letzter übernommen und zum Abschluss gebracht habe, für die von anderen Kantonen angeordneten und durchgeführten Zwangsmassnahmen verantwortlich sein solle. Von dieser geltenden Rechtsprechung geht auch der Einzelrichter des Bezirksgerichts Zürich aus, wo der Fall ebenfalls hängig ist. Er vertritt deshalb zu Recht die Auffassung, das Entschädigungsbegehren des Gesuchstellers sei vollständig und dessen Genugtuungsbegehren zur Hauptsache (d.h. soweit es sich nicht auf das Verfahren nach der Delegation an den Kanton Zürich bezieht) gegenüber dem Bund zu stellen (vgl. Verfügung des Bezirksgerichts Zürich vom 17. August 2000, Gesuchsbeilage 9). Danach ist die Anklagekammer des Bundesgerichts grundsätzlich zur Behandlung des Gesuches um Entschädigung und Genugtuung (Anträge Ziff. 4 und 5) zuständig.</w:t>
      </w:r>
    </w:p>
    <w:p>
      <w:r>
        <w:rPr>
          <w:b/>
        </w:rPr>
        <w:t>E. 4</w:t>
      </w:r>
    </w:p>
    <w:p>
      <w:r>
        <w:t>Der Gesuchsteller betont, dass es ihm darum gehe, die Zuständigkeit eindeutig zu klären. Er substanziiert denn auch seine Begehren um Ausrichtung einer Entschädigung und einer Genugtuung nicht näher. Es wird unter diesen Umständen darauf verzichtet, das vorliegende Gesuch von Amtes wegen gemäss Art. 122 Abs. 3 BStP zur vorgängigen Stellungnahme und Antragstellung der Eidgenössischen Untersuchungsrichterin zu überweisen. Der Gesuchsteller wird, sofern er an seinen Anträgen festhalten will, über diese der Anklagekammer des Bundesgerichts ein begründetes Gesuch um Ausrichtung einer Entschädigung für die Untersuchungshaft und andere erlittene Nachteile einzureichen haben. Dabei könnte es sich als zweckmässig erweisen, mit dem Gesuch zuzuwarten, bis die Behörden des Kantons Zürich über die bei ihnen eingereichten Gesuche bzw. über die Anrechnung der ausgestandenen Untersuchungshaft entschieden haben.</w:t>
      </w:r>
    </w:p>
    <w:p>
      <w:r>
        <w:rPr>
          <w:b/>
        </w:rPr>
        <w:t>E. 5</w:t>
      </w:r>
    </w:p>
    <w:p>
      <w:r>
        <w:t>Unter den Umständen des vorliegenden Falles rechtfertigt es sich, keine Kosten zu erheben.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