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8G.146/2003 vom 23. Dezember 2003</w:t>
      </w:r>
    </w:p>
    <w:p>
      <w:r>
        <w:t>Bundesgericht, 2003-12-23, IT</w:t>
      </w:r>
    </w:p>
    <w:p>
      <w:r>
        <w:rPr>
          <w:b/>
        </w:rPr>
        <w:t xml:space="preserve">Quelle: </w:t>
      </w:r>
      <w:r>
        <w:t>https://mcp.opencaselaw.ch/entscheid/bger_8G.146_2003</w:t>
      </w:r>
    </w:p>
    <w:p>
      <w:r>
        <w:t>FR: TF 8G.146/2003 du 23 décembre 2003</w:t>
      </w:r>
    </w:p>
    <w:p>
      <w:r>
        <w:t>IT: TF 8G.146/2003 del 23 dicembre 2003</w:t>
      </w:r>
    </w:p>
    <w:p>
      <w:pPr>
        <w:pStyle w:val="Heading2"/>
      </w:pPr>
      <w:r>
        <w:t>Regeste</w:t>
      </w:r>
    </w:p>
    <w:p>
      <w:r>
        <w:t>Infrazione</w:t>
      </w:r>
    </w:p>
    <w:p>
      <w:pPr>
        <w:pStyle w:val="Heading2"/>
      </w:pPr>
      <w:r>
        <w:t>Erwägungen</w:t>
      </w:r>
    </w:p>
    <w:p>
      <w:r>
        <w:rPr>
          <w:b/>
        </w:rPr>
        <w:t>E. 1.1</w:t>
      </w:r>
    </w:p>
    <w:p>
      <w:r>
        <w:t>Il Tribunale federale esamina d'ufficio e con piena cognizione l'ammissibilità dei gravami sottopostigli, senza essere vincolato, in tale ambito, dagli argomenti delle parti o dalle loro conclusioni ( DTF 128 II 46 consid. 2a pag. 47, con rinvii).</w:t>
      </w:r>
    </w:p>
    <w:p>
      <w:r>
        <w:rPr>
          <w:b/>
        </w:rPr>
        <w:t>E. 1.2</w:t>
      </w:r>
    </w:p>
    <w:p>
      <w:r>
        <w:t>Giusta l' art. 105bis cpv. 2 PP gli atti e le omissioni del procuratore generale della Confederazione possono essere impugnati con ricorso alla Camera di accusa del Tribunale federale, seguendo le prescrizioni procedurali degli art. 214 e segg. PP. Il diritto di reclamo spetta alle parti ed a qualunque persona cui la operazione o l'omissione abbia cagionato ingiustamente un danno ( art. 214 cpv. 2 PP ).</w:t>
      </w:r>
    </w:p>
    <w:p>
      <w:r>
        <w:rPr>
          <w:b/>
        </w:rPr>
        <w:t>E. 1.3</w:t>
      </w:r>
    </w:p>
    <w:p>
      <w:r>
        <w:t>Il reclamo in esame è orientato contro un atto di dissequestro parziale. Il pregresso atto di sequestro non è invece stato oggetto, a suo tempo, di impugnazione entro il termine previsto all' art. 217 PP . Rinunciando ad impugnarlo, il reclamante ne ha quindi implicitamente riconosciuto la legittimità, per cui esso è formalmente valido, unitamente alle motivazioni ivi contenute. Motivazioni quindi valide anche in relazione alla susseguente decisione di mantenimento parziale del sequestro. Si pone dunque la questione di sapere, giustamente sollevata dal MPC, se il reclamante sia legittimato a ricorrere contro questo nuovo atto, il quale effettivamente non lo danneggia direttamente, ma anzi lo pone in una situazione migliore rispetto a prima, non da ultimo visto che accoglie il contenuto della sua stessa domanda subordinata di dissequestro parziale presentata in data 21 ottobre 2003 al MPC ed implicitamente reiterata il 30 ottobre 2003. Data questa situazione il reclamante non può venire considerato aggravato ai sensi dell' art. 214 cpv. 2 PP ed è quindi privo di legittimazione ricorsuale. Del resto se egli riteneva che, dopo il proprio interrogatorio, il sequestro non fosse più giustificato nemmeno limitatamente all'importo di EUR 25'000.--, gli incombeva l'onere di presentare una nuova istanza al MPC motivata in tal senso, o quanto meno di riformulare le motivazioni dell'istanza originale (a valere quale nuova istanza): in entrambi i casi, per la salvaguardia del doppio grado di giurisdizione, tale (nuova) istanza andava proposta in prima battuta al MPC. Per questi motivi il reclamo risulta irricevibile.</w:t>
      </w:r>
    </w:p>
    <w:p>
      <w:r>
        <w:rPr>
          <w:b/>
        </w:rPr>
        <w:t>E. 2</w:t>
      </w:r>
    </w:p>
    <w:p>
      <w:r>
        <w:t>A titolo abbondanziale va altresì constatata la contraddittorietà della condotta processuale del reclamante, il quale da un lato omette di impugnare formalmente il sequestro, dall'altro domanda al MPC il dissequestro "perlomeno per tutto quanto ecceda l'importo di EUR 25'000.--" ed infine, ottenuto in parte quanto richiesto, impugna il relativo provvedimento di dissequestro per mancanza di motivazione. Provvedimento, quest'ultimo, che esplicitamente si richiama al precedente ordine di sequestro e quindi ovviamente anche alle motivazioni ivi contenute. Tale ordine, pur succintamente, contiene una descrizione dettagliata, tenuto conto dello stadio del procedimento, dei fatti all'origine del provvedimento e delle possibili implicazioni a livello penale delle persone coinvolte. Orbene, secondo la giurisprudenza, una motivazione può essere ritenuta sufficiente quando l'autorità menziona, almeno brevemente, i motivi che l'hanno indotta a decidere in un senso piuttosto che nell'altro e pone quindi l'interessato nella condizione di rendersi conto della portata del giudizio e delle eventuali possibilità di impugnazione ( DTF 126 I 97 consid. 2b; 124 V 180 consid. 1a pag. 181; 123 I 31 consid. 2c pag. 34). Si tratta di condizioni che sono senz'altro date nella fattispecie, anche tenuto conto del fatto che in questi casi, ritenuto da un lato l'urgenza di procedere ai necessari accertamenti sui conti bancari e, dall'altro, la precoce fase del procedimento, le esigenze in materia di motivazione della decisione sono attenuate (v. Gérard Piquerez, Procédure pénale suisse, Zurigo 2000, n. 770). Essendo adempiute nel caso della decisione di sequestro, tali esigenze sono a maggior ragione adempiute se rapportate alla decisione di mantenimento parziale del sequestro (argumentum a maiori ad minus). Tale misura è inoltre proporzionata, visto che dopo l'interrogatorio di X.________ è stata prontamente adattata alla situazione, ed è lecita, considerato che allo stato attuale dell'inchiesta siamo in presenza di sufficienti indizi di reato ed esiste inoltre un nesso fra il reato e l'oggetto sequestrato ( DTF 124 IV 313 consid. 4). In questo senso il gravame, già di per sé irricevibile per i motivi esposti al punto 1, risulta privo di fondamento anche dal profilo sostanziale.</w:t>
      </w:r>
    </w:p>
    <w:p>
      <w:r>
        <w:rPr>
          <w:b/>
        </w:rPr>
        <w:t>E. 3</w:t>
      </w:r>
    </w:p>
    <w:p>
      <w:r>
        <w:t>Comunicazione al reclamante e al Ministero pubblico della Confederazione. Losanna, 1° marzo 2004 In nome della Camera d'accusa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